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ATAS/182/2013 vom 20. Februar 2013</w:t>
      </w:r>
    </w:p>
    <w:p>
      <w:r>
        <w:t>GE Cour de justice, 2013-02-20, FR</w:t>
      </w:r>
    </w:p>
    <w:p>
      <w:r>
        <w:rPr>
          <w:b/>
        </w:rPr>
        <w:t xml:space="preserve">Quelle: </w:t>
      </w:r>
      <w:r>
        <w:t>https://mcp.opencaselaw.ch/entscheid/ge_gerichte_ATAS_182_2013</w:t>
      </w:r>
    </w:p>
    <w:p>
      <w:r>
        <w:t>FR: GE_GERICHTE ATAS/182/2013 du 20 février 2013</w:t>
      </w:r>
    </w:p>
    <w:p>
      <w:r>
        <w:t>IT: GE_GERICHTE ATAS/182/2013 del 20 febbraio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LAI; RS 831.20). Sa compétence pour juger du cas d’espèce est ainsi établie. Sa compétence pour juger du cas d’espèce est ainsi établie.</w:t>
      </w:r>
    </w:p>
    <w:p>
      <w:r>
        <w:rPr>
          <w:b/>
        </w:rPr>
        <w:t>E. 2</w:t>
      </w:r>
    </w:p>
    <w:p>
      <w:r>
        <w:t>Interjeté dans les délai et forme prescrits par la loi, le recours est recevable (art 56 ss LPGA).</w:t>
      </w:r>
    </w:p>
    <w:p>
      <w:r>
        <w:rPr>
          <w:b/>
        </w:rPr>
        <w:t>E. 3</w:t>
      </w:r>
    </w:p>
    <w:p>
      <w:r>
        <w:t>Se pose en premier lieu la question de l'objet du litige. Par décision du 3 septembre 2008, l'intimé avait octroyé au recourant une rente entière dès le 16 juillet 2004, trois quarts de rente dès le 1er mars 2005 et un quart de rente dès le 1er décembre 2005. Par jugement du 8 avril 2009, le Tribunal cantonal des assurances sociales a annulé cette décision, en ce que celle-ci a refusé une rente d'invalidité entière dès le 1er mars 2005, et l'a confirmée pour le surplus. Il résulte de ce dispositif que le Tribunal a maintenu les rentes partielles accordées dont le recourant avait demandé l'augmentation, et que l'instruction devait uniquement porter sur la question de savoir si le degré d'invalidité du recourant était supérieur à ce que l'OAI avait retenu, au terme de l'instruction complémentaire. Un tel jugement ne constitue par conséquent pas une reformatio in pejus potentiel, l'administration ne pouvant plus revenir sur les rentes partielles accordées. Ainsi, selon la récente jurisprudence du Tribunal fédéral, le Tribunal cantonal des assurances sociales ne devait pas accorder au recourant l'occasion de retirer son recours (ATF 9C_310/2011 du 18 juillet 2011 consid. 3.2.4). C'est donc à raison que l'intimé, qui a jugé que le quart de rente n'était pas justifié, l'a supprimé pour le futur par la voie de la révision et non pas à compter de décembre 2005, date de l'octroi. Pour le surplus, il y a lieu de considérer que l'intimé a refusé, par sa décision querellée, implicitement l'augmentation du trois- quarts de rente dès le 1er mars 2005, ainsi que du quart de rente dès le 1er décembre 2005.</w:t>
      </w:r>
    </w:p>
    <w:p>
      <w:r>
        <w:t>A/4464/2011 - 14/26 -</w:t>
      </w:r>
    </w:p>
    <w:p>
      <w:r>
        <w:rPr>
          <w:b/>
        </w:rPr>
        <w:t>E. 4</w:t>
      </w:r>
    </w:p>
    <w:p>
      <w:r>
        <w:t>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En vertu de l’art. 88a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A/4464/2011 - 15/26 - entraîne une incapacité de travail ayant des effets sur la capacité de gain de l’assuré (MEYER-BLASER, Bundesgesetz über die Invalidenversicherung, Zurich 1997, p. 8).</w:t>
      </w:r>
    </w:p>
    <w:p>
      <w:r>
        <w:rPr>
          <w:b/>
        </w:rPr>
        <w:t>E. 6</w:t>
      </w:r>
    </w:p>
    <w:p>
      <w:r>
        <w:t>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b)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Pour l'évaluation des syndromes sans pathogenèse ni étiologie claires et sans constat de déficit organique, la jurisprudence a dégagé un certain nombre de principes et de critères normatifs pour permettre d'apprécier - sur les plans médical et juridique - leur caractère invalidant.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w:t>
      </w:r>
    </w:p>
    <w:p>
      <w:r>
        <w:t>A/4464/2011 - 16/26 -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A/4464/2011 - 17/26 -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t>A/4464/2011 - 18/26 -</w:t>
      </w:r>
    </w:p>
    <w:p>
      <w:r>
        <w:rPr>
          <w:b/>
        </w:rPr>
        <w:t>E. 9</w:t>
      </w:r>
    </w:p>
    <w:p>
      <w:r>
        <w:t>En l'espèce, se pose en premier lieu la question du degré d'invalidité du recourant dès le 1er mars 2005. L'intimé a considéré qu'après l'accident du 16 juillet 2003, l'état de santé du recourant s'était amélioré en novembre 2004. Ce faisant, il s'est fondé sur le rapport de la CRR du 22 novembre 2004, selon lequel la capacité de travail était de 50 % dans la dernière profession exercée, à savoir celle d'employé de voirie. Les diagnostics étaient alors essentiellement des gonalgies gauches avec notamment des discopathies C3-C4 et L4-L5. Sur le plan psychiatrique, l'expert-psychiatre a évoqué un trouble de la personnalité avec une certaine instabilité professionnelle et une toxicomanie, sans toutefois retenir ce diagnostic, ainsi que des antécédents d'états dépressifs. Les limitations professionnelles n'étaient pas toutes objectivables. Les douleurs présentaient le principal obstacle à la reprise d'activité. Il est à noter que les experts de la CRR ne s'étaient pas prononcés sur la capacité de travail dans une activité adaptée. Puis le recourant a fait l'objet d'une expertise du COMAI en novembre 2006. Les experts ne se sont cependant pas prononcés sur la capacité de travail du recourant entre l'accident de 2003 et celui de 2005. Selon l'expertise du BREM, effectuée en février et mars 2010, les diagnostics étaient cervico-brachialgies gauches depuis mai 2005, status après cure du tunnel carpien gauche et neurolyse du nerf gauche en décembre 2007, status après dyscectomie C5-C6 et C6-C7 en janvier 2009, ainsi que gonalgies chroniques à gauche avec status après double arthroscopie pour la résection des ménisques. La capacité de travail est de 100% depuis mai 2005, selon les experts du BREM, conclusion qui est toutefois manifestement erronée, au vu de l'accident du recourant en date du 3 mai 2005. Quant à l'expertise judiciaire, elle conclut à une capacité de travail de 50% dans l'activité habituelle et à une capacité totale dans une activité adaptée dès décembre 2004. Ce faisant, l'expert judiciaire admet une amélioration de l'état de santé du recourant dès cette date. Il est à noter par ailleurs que cette évaluation est partagée par le médecin traitant, la Dresse J__________ , dans son rapport du 22 décembre 2004, où elle atteste une capacité de travail de 50% dans l'activité habituelle et indique qu'il peut être exigé du recourant qu'il exerce une autre activité en position assise et sans port de charges. Au vu de ces rapports concordants, il ne peut être admis que la capacité de travail était diminuée dans une activité adaptée dès novembre/décembre 2004 de plus de 50%, comme le recourant le fait valoir. Il n'y a dès lors pas lieu d'augmenter le droit à trois-quarts de rente.</w:t>
      </w:r>
    </w:p>
    <w:p>
      <w:r>
        <w:t>A/4464/2011 - 19/26 -</w:t>
      </w:r>
    </w:p>
    <w:p>
      <w:r>
        <w:rPr>
          <w:b/>
        </w:rPr>
        <w:t>E. 10</w:t>
      </w:r>
    </w:p>
    <w:p>
      <w:r>
        <w:t>Suite à l'accident du 3 mai 2005, l'état de santé du recourant s'est aggravé et il était totalement incapable de travailler, ce qui n'est pas contesté. Le 26 septembre 2005, le Dr L__________ de la SUVA a constaté que les conséquences délétères de l'accident étaient éteintes et que le recourant avait une pleine capacité de travail dans une activité adaptée. L'aggravation ayant duré plus de trois mois, il y a lieu de mettre le recourant au bénéfice d'une rente entière après l'écoulement de ce laps de temps, soit dès le 3 août 2005. Suite à l'amélioration de son état en septembre 2005, il sied de réviser le droit à la rente après trois mois, soit dès le 1er janvier 2006. Il convient donc de reconnaître au recourant une rente entière d'août à décembre 2005.</w:t>
      </w:r>
    </w:p>
    <w:p>
      <w:r>
        <w:rPr>
          <w:b/>
        </w:rPr>
        <w:t>E. 11</w:t>
      </w:r>
    </w:p>
    <w:p>
      <w:r>
        <w:t>Se pose toutefois la question du degré d'invalidité global du recourant dès janvier 2006 jusqu'à l'aggravation en novembre 2007, dès lors que la SUVA n'a pris en charge que les atteintes à la santé en lien avec l'accident. Sur la base de l'expertise du COMAI du 6 mars 2007, l'intimé a admis dans un premier temps une capacité de travail de 100% avec une diminution de rendement de 20%. Sur le plan somatique, la capacité de travail était "probablement" totale selon cette expertise dans une activité adaptée ne comportant pas de port de charges lourdes ni de charges légères à répétition, privilégiant les changements de position et la position assise, en évitant les surcharges du genou gauche, le maintien des positions debout ou assises prolongées, la marche de longue distance, la montée ou la descente fréquente des escaliers et la marche en terrain inégal. Tel est également l'avis des experts du BREM, comme exposé ci-dessus, ainsi que de l'expert judiciaire. Partant, il ne saurait être retenu que le recourant a présenté une incapacité de travail supérieure à celle retenue par l'intimé dans sa décision du 3 septembre 2008.</w:t>
      </w:r>
    </w:p>
    <w:p>
      <w:r>
        <w:rPr>
          <w:b/>
        </w:rPr>
        <w:t>E. 12</w:t>
      </w:r>
    </w:p>
    <w:p>
      <w:r>
        <w:t>A partir de novembre 2007, l'état de santé s'est aggravé, du moins provisoirement, un ENMG ayant montré des signes d'un tunnel carpien bilatéral et une neuropathie bilatérale. Par la suite, le recourant a été opéré du tunnel carpien et du nerf ulnaire gauches en mars 2008. Fin mars 2008, les cervico-brachialgies se sont accentuées. Suite à la découverte d'une hernie discale C6-C7, le recourant a subi une double dyscectomie C5-C6 et C6-C7 et une prothèse cervicale en janvier 2009. C'est la raison pour laquelle le Tribunal a renvoyé la cause à l'intimé pour instruction complémentaire sur ce point. Néanmoins, les experts du BREM ont considéré que la capacité de travail était restée entière dans une activité adaptée. Cette expertise n'a toutefois pas pris en</w:t>
      </w:r>
    </w:p>
    <w:p>
      <w:r>
        <w:t>A/4464/2011 - 20/26 - compte les douleurs lombaires et a minimisé les cervicalgies en raison de la discordance entre l'importance des plaintes alléguées et le comportement. L'expertise judiciaire a conclu également à une capacité de travail complète, tout en objectivant une douleur à la percussion des épineuses du rachis cervical, thoracique et lombaire, ainsi qu'en constatant que la position de la tête spontanée était en flexion de l'ordre de 30° et que la mobilité du rachis cervical était globalement limitée de manière constante. La position en flexum habituelle pouvait entraîner quelques surcharges au niveau de la musculature de la nuque, sans que cela soit en lien avec la prothèse C6-C7, en raison de l'arthrose étagée de toute la colonne cervicale avec des pincements au divers espaces intervertébraux. Les surcharges mécaniques étant susceptibles d'entraîner un inconfort musculaire, le recourant ne devait pas porter des charges de plus de 15 kilos et éviter des mouvements répétitifs avec la colonne cervicale. Pour le reste, l'expert judiciaire a retenu les mêmes diagnostics et limitations que les experts du BREM. Il n'a pas non plus fait état des lombalgies et de l'hernie discale dans les diagnostics. Toutefois, il les a mentionnées dans les plaintes en indiquant que le recourant était gêné de manière irrégulière par des lombalgies déclenchées par certains mouvements. L'examen clinique a également porté sur la colonne lombaire et l'expertise a rappelé l'IRM lombaire du 8 février 2011 qui objective une petite hernie discale L4-L5 paramédiane droite entrant en conflit avec la racine L5 droite, ainsi qu'une discopathie protrusive L2-L3, rétrécissant de manière modérée le canal lombaire. Même si, de l'avis de la Cour de céans, les atteintes à la colonne lombaire auraient dû figurer dans les diagnostics, il n'en demeure pas moins que l'expert judiciaire les connaissait et a dû les prendre en considération. Implicitement, il a donc considéré que, dans une activité adaptée, ces pathologies n'engendraient pas de limitations ni une incapacité de travail supplémentaires. Il doit en être de même des nouvelles découvertes concernant l'état de santé du recourant dont l'expert lui a fait part verbalement. Quant à la boiterie, l'oubli de la mentionner respectivement la constatation erronée de son absence ne sont pas très importants, dès lors que les limitations dues aux gonalgies ont été prises en compte et que de toute manière seule une activité essentiellement assise peut être envisagée. Ainsi, en dépit des carences relevées par le recourant, une valeur probante ne peut être déniée à cette expertise. Certes, ses conclusions sont contradiction avec celles de la Dresse J__________ qui a considéré que la capacité de travail était nulle dans n'importe quelle activité. Cependant, dès lors que l'appréciation de ce médecin ne se fonde pas sur des éléments médicaux qui ont été ignorés par les experts, elle ne peut être retenue et n'est pas propre à mettre en cause les conclusions de ceux-ci, selon la jurisprudence précitée.</w:t>
      </w:r>
    </w:p>
    <w:p>
      <w:r>
        <w:t>A/4464/2011 - 21/26 - Les conclusions des expertises du BREM et du Dr E__________ étant concordantes, la Cour de céans n'a aucune raison de s'en écarter. Par conséquent, une incapacité de travail supérieure à celle retenue dans la décision du 3 septembre 2008 ne peut être admise.</w:t>
      </w:r>
    </w:p>
    <w:p>
      <w:r>
        <w:rPr>
          <w:b/>
        </w:rPr>
        <w:t>E. 13</w:t>
      </w:r>
    </w:p>
    <w:p>
      <w:r>
        <w:t>Le recourant conteste également le calcul de la rente.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w:t>
      </w:r>
    </w:p>
    <w:p>
      <w:r>
        <w:t>A/4464/2011 - 22/26 -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14</w:t>
      </w:r>
    </w:p>
    <w:p>
      <w:r>
        <w:t>En l'espèce, il est vrai que le calcul de la perte de gain a varié de façon étonnante en cours de procédure. En 2008, l'intimé s'est fondé, pour l'année de comparaison 2004, sur un salaire sans invalidité de 67'600 fr. et un salaire avec invalidité de 57'258 fr., avant un abattement de 15%. En 2010, il a retenu, pour l'année de comparaison de 2005, un salaire sans invalidité de 73'233 fr., en prenant considération un 13ème salaire, et un salaire avec invalidité de 58'892 fr., avant abattement de 15%. En 2011, le salaire sans invalidité retenu était, pour l'année de comparaison de 2005, de nouveau de 67'600, le salaire avec invalidité de 57'751 fr. et l'abattement de 25 %. Concernant le salaire sans invalidité, il est mentionné que l'intimé a pris en compte le salaire retenu par la SUVA pour son calcul d'invalidité. Le recourant a en outre déclaré à la SUVA que ce salaire n'aurait pas été évalué entre 2003 et 2005. Au vu de l'ancienneté des rapports de travail, l'intimé n'a pas pu obtenir de renseignements précis à ce sujet auprès du dernier employeur. Il ressort effectivement du compte rendu de l'entretien du 6 décembre 2005 entre le recourant et la SUVA (doc. 39 p. 6 de l'intimé) que le recourant a expliqué avoir convenu avec son employeur qu'au vu de son salaire élevé de 32 fr. 50 de l'heure,</w:t>
      </w:r>
    </w:p>
    <w:p>
      <w:r>
        <w:t>A/4464/2011 - 23/26 - au lieu de 25 fr. de l'heure pour un manœuvre du bâtiment, son salaire ne bougerait pas dans les années à venir. De plus, il a indiqué qu'il n'avait pas droit à un 13ème salaire. Le recourant fait cependant valoir qu'avec les années, il aurait eu droit à un 13ème salaire. Cela n'est cependant étayé par aucune pièce et ne paraît pas vraisemblable en raison du salaire relativement élevé pour un employé de voirie temporaire. Par conséquent, il y a lieu d'admettre que le salaire sans invalidité était en 2004 et 2005 de 67'600 fr. Quant au salaire avec invalidité, il convient de se fonder sur celui calculé à 57'751 fr. en 2011, lequel prend en considération le salaire moyen pour les homme dans une activité simple et répétitive de 4'588 fr. pour 40 heures de travail par semaine en 2004, selon l'enquête suisse sur la structure des salaires en 2004 (ESS 2004, TA1 niveau 4 p. 53). C'est à juste titre que l'intimé l'a ensuite calculé en fonction de la durée normale hebdomadaire de 41,6 heures en 2005, puis indexé à l'évolution de l'indice suisse nominal des salaires (ISS) entre 2004 et 2005. Ainsi, en admettant une capacité de travail de 50% en 2005, comme retenu par l'intimé dans sa décision du 8 septembre 2008, ainsi que l'abattement supplémentaire de 25 % appliqué par l'intimé, le salaire avec invalidité s'établit à 21'656 fr. La perte de gain, par rapport à un salaire de 67'600 fr., est ainsi de 68 %, ce qui n'ouvre le droit qu'à trois quarts de rente. Le calcul de la rente dès mars 2005 n'est donc pas critiquable. Pour le calcul de la rente dès janvier 2006, l'intimé a admis une diminution de rendement de 20%. Compte tenu de celle-ci, la perte de gain est, en incluant un abattement de 25%, de 48 %. Ce degré d'invalidité correspond aussi à celui retenu par l'intimé dans sa première décision. Cela étant, le calcul de la rente de l'intimé ne prête pas le flanc à la critique.</w:t>
      </w:r>
    </w:p>
    <w:p>
      <w:r>
        <w:rPr>
          <w:b/>
        </w:rPr>
        <w:t>E. 15</w:t>
      </w:r>
    </w:p>
    <w:p>
      <w:r>
        <w:t>Quant à la suppression du droit à la rente par la décision dont est recours, il appert de ce qui précède que l'état de santé du recourant ne s'est certainement pas amélioré. Ainsi, les conditions pour une révision matérielle au sens de l'art 17 LPGA ne sont pas remplies. L'état de santé étant resté inchangé, voire même s'étant aggravé, l'intimé n'était pas habilité à réviser le droit à la rente en le supprimant, sur la base d'une nouvelle appréciation de l'état de santé. A cet égard, il y a lieu de relever que le fait qu'une nouvelle expertise conclue à une capacité de travail totale, contrairement aux appréciations antérieures, ne signifie pas encore qu'il y a une amélioration de l'état de santé. Or, en l'occurrence, l'expert judiciaire et les experts du BREM n'ont pas mis en évidence les éléments médicaux en faveur d'une amélioration.</w:t>
      </w:r>
    </w:p>
    <w:p>
      <w:r>
        <w:rPr>
          <w:b/>
        </w:rPr>
        <w:t>E. 16</w:t>
      </w:r>
    </w:p>
    <w:p>
      <w:r>
        <w:t>Se pose dès lors la question de savoir si l'intimé était fondé de supprimer le droit à la rente par la voie de la reconsidération. a) En vertu de l’art. 53 al. 2 LPGA, l’assureur peut revenir sur les décisions ou les décisions sur opposition formellement passées en force lorsqu’elles sont</w:t>
      </w:r>
    </w:p>
    <w:p>
      <w:r>
        <w:t>A/4464/2011 - 24/26 -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b) En l'occurrence, les experts du COMAI ont retenu une diminution de rendement de 20 à 30% dans une activité adaptée en raison de l'épuisement progressif des ressources psychiques du recourant dans le cadre d'un éventuel trouble</w:t>
      </w:r>
    </w:p>
    <w:p>
      <w:r>
        <w:t>A/4464/2011 - 25/26 - somatoforme douloureux. Toutefois, les expertes-psychiatres du COMAI et du BREM n'ont pas retenu de diagnostic au sens de la CIM-10. La Dresse P__________ a fait état d'un équilibre fragilisé après la survenance de plusieurs évènements adverses de la vie, équilibre qui a été rompu par l'accident de mai 2005. La Dresse V__________ a retenu que l'assuré présentait depuis jeune adulte des traits borderline se manifestant par des conflits relationnels, des changements fréquents d'employeur, des difficultés affectives et une difficulté à maintenir des liens. Ce trouble n'était toutefois pas décompensé et n'avait pas empêché le recourant à travailler jusqu'en 2003, selon cette experte. Il convient donc de constater que les deux expertes psychiatres arrivent à peu près à la même conclusion, à savoir un équilibre fragilisé déjà avant l'accident de 2005. Dans ces conditions, il ne peut être admis qu'après ce dernier accident, une diminution de rendement de 20 à 30%, pour des raisons psychiatriques, soit manifestement erronée. Il convient à cet égard de relever que le rendement réduit n'est pas à mettre sur le compte du trouble somatoforme douloureux d'après l'expertise du COMAI, mais sur l'épuisement des ressources psychiques, de sorte qu'il n'y a pas lieu d'appliquer les critères élaborés par le Tribunal fédéral pour l'appréciation du caractère invalidant d'un tel trouble. Cela étant, les conditions légales pour une reconsidération ne sont pas réalisées.</w:t>
      </w:r>
    </w:p>
    <w:p>
      <w:r>
        <w:rPr>
          <w:b/>
        </w:rPr>
        <w:t>E. 17</w:t>
      </w:r>
    </w:p>
    <w:p>
      <w:r>
        <w:t>Au vu de ce qui précède, le recours sera partiellement admis et la décision querellée annulée. Par ailleurs, la décision du 3 septembre 2008 sera réformée dans le sens que le recourant est mis au bénéfice d'une rente entière d'août à décembre 2005, et confirmée pour le surplus.</w:t>
      </w:r>
    </w:p>
    <w:p>
      <w:r>
        <w:rPr>
          <w:b/>
        </w:rPr>
        <w:t>E. 18</w:t>
      </w:r>
    </w:p>
    <w:p>
      <w:r>
        <w:t>Dans la mesure où le recourant obtient partiellement gain de cause, une indemnité de 2'000 fr. lui est octroyée à titre de dépens.</w:t>
      </w:r>
    </w:p>
    <w:p>
      <w:r>
        <w:rPr>
          <w:b/>
        </w:rPr>
        <w:t>E. 19</w:t>
      </w:r>
    </w:p>
    <w:p>
      <w:r>
        <w:t>Au vu de l'issue de la cause, un émolument de 200 fr. est mis à la charge de l'intimé.</w:t>
      </w:r>
    </w:p>
    <w:p>
      <w:r>
        <w:t>A/4464/2011 - 26/26 -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