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ATAS/182/2009 vom 17. Februar 2009</w:t>
      </w:r>
    </w:p>
    <w:p>
      <w:r>
        <w:t>GE Cour de justice, 2009-02-17, FR</w:t>
      </w:r>
    </w:p>
    <w:p>
      <w:r>
        <w:rPr>
          <w:b/>
        </w:rPr>
        <w:t xml:space="preserve">Quelle: </w:t>
      </w:r>
      <w:r>
        <w:t>https://mcp.opencaselaw.ch/entscheid/ge_gerichte_ATAS_182_2009</w:t>
      </w:r>
    </w:p>
    <w:p>
      <w:r>
        <w:t>FR: GE_GERICHTE ATAS/182/2009 du 17 février 2009</w:t>
      </w:r>
    </w:p>
    <w:p>
      <w:r>
        <w:t>IT: GE_GERICHTE ATAS/182/2009 del 17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bien-fondé de la décision de l'OCAI refusant d'entrer en matière.</w:t>
      </w:r>
    </w:p>
    <w:p>
      <w:r>
        <w:rPr>
          <w:b/>
        </w:rPr>
        <w:t>E. 5</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w:t>
      </w:r>
    </w:p>
    <w:p>
      <w:r>
        <w:t>A/3530/2008 - 5/8 -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En l'espèce, l'OCAI a refusé d'entrer en matière au motif que l'assurée n'avait pas rendu plausible que son invalidité s'était modifiée de manière à influencer ses droits depuis le 23 juin 2005.</w:t>
      </w:r>
    </w:p>
    <w:p>
      <w:r>
        <w:rPr>
          <w:b/>
        </w:rPr>
        <w:t>E. 7</w:t>
      </w:r>
    </w:p>
    <w:p>
      <w:r>
        <w:t>Il convient donc de déterminer si la nouvelle demande de prestations satisfait aux exigences posées quant au caractère plausible d'une modification déterminante des faits (art. 87 al. 3 et 4 RAI).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w:t>
      </w:r>
    </w:p>
    <w:p>
      <w:r>
        <w:t>A/3530/2008 - 6/8 - révision de la rente et la nouvelle demande par rapport aux bases de comparaison dans le temps).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w:t>
      </w:r>
    </w:p>
    <w:p>
      <w:r>
        <w:rPr>
          <w:b/>
        </w:rPr>
        <w:t>E. 8</w:t>
      </w:r>
    </w:p>
    <w:p>
      <w:r>
        <w:t>L'OCAI a accordé à l'assurée le 23 juin 2005 une demi-rente d'invalidité limitée dans le temps, soit d'octobre 2002 à novembre 2003. Il s'est fondé sur une capacité de travail retrouvée de 100% dès août 2003, telle qu'attestée par le Dr M________ dans son rapport du 9 décembre 2003 et sur le fait que l'assurée avait effectivement repris son activité à plein temps à cette date. Il a ainsi nié le droit de l'assurée à la rente au-delà de novembre 2003, conformément à l'art. 88a al. 1 RAI.</w:t>
      </w:r>
    </w:p>
    <w:p>
      <w:r>
        <w:rPr>
          <w:b/>
        </w:rPr>
        <w:t>E. 9</w:t>
      </w:r>
    </w:p>
    <w:p>
      <w:r>
        <w:t>L'assurée a déposé une nouvelle demande de prestations AI le 14 juin 2008, expliquant qu'elle avait dû subir une nouvelle intervention chirurgicale à l'épaule droite le 7 mars 2008, qu'elle avait été licenciée par son employeur le 25 avril 2008 avec effet à fin juillet 2008 et qu'elle n'avait plus droit au versement d'une pension alimentaire dès le 1er décembre 2006 selon jugement de divorce. Dans son rapport du 16 septembre 2008, le Dr L________ considère que l'exercice de sa profession d'éducatrice de la petite enfant est définitivement compromise, précisant que "malgré de multiples séances de physiothérapie et la prescription d'antidouleurs et d'anti-inflammatoires à la demande, la situation ne s'améliore pas et il est probable que des séquelles définitives demeureront à titre de fatigabilité douloureuse, de diminution de la force en cas d'efforts importants et en cas d'efforts plus faibles mais répétitifs". L'assurée fait également état le 2 février 2009 de la survenance d'autres atteintes à la santé (cervicales et lombaires).</w:t>
      </w:r>
    </w:p>
    <w:p>
      <w:r>
        <w:rPr>
          <w:b/>
        </w:rPr>
        <w:t>E. 10</w:t>
      </w:r>
    </w:p>
    <w:p>
      <w:r>
        <w:t>Force est de constater qu'en décembre 2003, le Dr M________ indiquait déjà qu'un emploi ne comportant pas le port d'enfants en bas âge lui paraîtrait mieux indiqué. Le Dr L________, en septembre 2008, se borne à prévoir que probablement, des séquelles définitives demeureront à titre de fatigabilité douloureuse notamment.</w:t>
      </w:r>
    </w:p>
    <w:p>
      <w:r>
        <w:t>A/3530/2008 - 7/8 - Il y a en conséquence lieu de considérer, compte tenu du pouvoir d'appréciation dont jouit l'administration à cet égard, que l'assurée n'a pu rendre plausible une aggravation de sa santé susceptible d'influer sur son droit aux prestations, étant rappelé à cet égard que le seuil minimum fixé par la jurisprudence pour ouvrir droit à une mesure de reclassement dans une nouvelle profession, ce que souhaiterait obtenir l'assurée, est une diminution de la capacité de gain de 20% environ (ATF 124 V 110, consid. 2b). C'est ainsi à juste titre que l'OCAI n'est pas entré en matière. Aussi le recours est-il rejeté, étant précisé que si des faits nouveaux sont survenus depuis septembre 2008, il sera loisible à l'assurée de les faire valoir dans le cadre d'une nouvelle demande.</w:t>
      </w:r>
    </w:p>
    <w:p>
      <w:r>
        <w:t>A/3530/2008 - 8/8 -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