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ATAS/180/2025 vom 21. März 2025</w:t>
      </w:r>
    </w:p>
    <w:p>
      <w:r>
        <w:t>GE Cour de justice, 2025-03-21, FR</w:t>
      </w:r>
    </w:p>
    <w:p>
      <w:r>
        <w:rPr>
          <w:b/>
        </w:rPr>
        <w:t xml:space="preserve">Quelle: </w:t>
      </w:r>
      <w:r>
        <w:t>https://mcp.opencaselaw.ch/entscheid/ge_gerichte_ATAS_180_2025</w:t>
      </w:r>
    </w:p>
    <w:p>
      <w:r>
        <w:t>FR: GE_GERICHTE ATAS/180/2025 du 21 mars 2025</w:t>
      </w:r>
    </w:p>
    <w:p>
      <w:r>
        <w:t>IT: GE_GERICHTE ATAS/180/2025 del 21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A/2263/2024 - 6/15 -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applicable par le renvoi de l’art. 1 al. 1 LAI ; art. 62 al. 1 de la loi sur la procédure administrative du 12 septembre 1985 - LPA - E 5 10). Interjeté dans la forme et le délai prévus par la loi, le recours est recevable (art. 60 al. 1 LPGA).</w:t>
      </w:r>
    </w:p>
    <w:p>
      <w:r>
        <w:rPr>
          <w:b/>
        </w:rPr>
        <w:t>E. 2</w:t>
      </w:r>
    </w:p>
    <w:p>
      <w:r>
        <w:t>Le litige porte sur le droit à des prestations de l’assurance-invalidité de l’assuré.</w:t>
      </w:r>
    </w:p>
    <w:p>
      <w:r>
        <w:rPr>
          <w:b/>
        </w:rPr>
        <w:t>E. 2.1</w:t>
      </w:r>
    </w:p>
    <w:p>
      <w:r>
        <w:t>Le 1er janvier 2022, sont entrées en vigueur les modifications de la LAI du 19 juin 2020 (développement continu de l’AI ; RO 2021 705) ainsi que celles du</w:t>
      </w:r>
    </w:p>
    <w:p>
      <w:r>
        <w:rPr>
          <w:b/>
        </w:rPr>
        <w:t>E. 2.2</w:t>
      </w:r>
    </w:p>
    <w:p>
      <w:r>
        <w:t>En l'espèce, un éventuel droit à une rente d'invalidité naîtrait au plus tôt en août 2021, dès lors que la demande de prestations a été déposée en février 2021 (art. 29 LAI), de sorte que les dispositions légales applicables seront citées dans leur ancienne teneur.</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3.1</w:t>
      </w:r>
    </w:p>
    <w:p>
      <w:r>
        <w:t>En vertu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w:t>
      </w:r>
    </w:p>
    <w:p>
      <w:r>
        <w:t>A/2263/2024 - 7/15 -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3.3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w:t>
      </w:r>
    </w:p>
    <w:p>
      <w:r>
        <w:t>A/2263/2024 - 8/15 -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(ATF 132 V 65 consid. 4.1).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w:t>
      </w:r>
    </w:p>
    <w:p>
      <w:r>
        <w:t>A/2263/2024 - 9/15 -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 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A/2263/2024 - 10/15 -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A/2263/2024 - 11/15 -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w:t>
      </w:r>
    </w:p>
    <w:p>
      <w:r>
        <w:t>A/2263/2024 - 12/15 - suffisamment pertinents pour remettre en cause les conclusions de l'expert (arrêt du Tribunal fédéral 8C_755/2020 du 19 avril 2021 consid. 3.2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3.6</w:t>
      </w:r>
    </w:p>
    <w:p>
      <w:r>
        <w:t>En l’occurrence, le recourant fait uniquement valoir qu’il se trouve toujours en incapacité de travail totale en raison d’un état dépressif majeur. Dans la mesure où son état de santé psychique a été examiné par un expert psychiatre mandaté par l’intimé, il convient d’examiner la valeur probante de son expertise. La chambre de céans constate en premier lieu que ce rapport a été rendu en pleine connaissance du dossier, qu’il comporte une anamnèse familiale, personnelle et professionnelle approfondie et un status psychiatrique fouillé, qu’il se fait l’écho des plaintes de l’assuré, que les diagnostics et les conclusions sont bien motivés et que l’analyse est articulée autour de la grille structurée prévue par la jurisprudence et des questions posées par l’assurance. Aussi convient-il en principe d’en reconnaître la valeur probante. L’expert a retenu que l’assuré avait toujours été autonome dans toutes les tâches de la vie quotidienne : il décrivait une journée-type chargée et aucun symptôme dépressif ou anxieux. Son comportement face à la maladie était marqué par l’amplification, ce qui avait été confirmé par l’évaluation neuropsychologique. Il n’y avait aucune limitation fonctionnelle significative de nature psychiatrique. Il était parfaitement autonome dans toutes les tâches de la vie quotidienne, prenant sa voiture plusieurs heures par jour, que ce soit quand la circulation est fluide ou</w:t>
      </w:r>
    </w:p>
    <w:p>
      <w:r>
        <w:t>A/2263/2024 - 13/15 - en présence de bouchons. Il était capable de prendre l’avion et le train et ne rapportait aucune limitation fonctionnelle en lien avec les phobies décrites. Il s’occupait de son petit-fils cinq jours par semaine et accompagnait son fils trois fois par semaine en voiture à des séances d’orthophonie. Il préparait le souper cinq fois par semaine pour lui, sa fille et son beau-fils, ainsi que chez son ex-épouse quand il accompagnait son fils trois fois par semaine. Il prenait du plaisir à regarder le football, des films et écouter des chansons. Aucune perte de fonctionnalité pour des motifs psychiatriques n’était ainsi cohérente et plausible. L’expert a expliqué les raisons pour lesquelles il s’écartait du diagnostic d’épisode dépressif sévère retenu par le psychiatre traitant du recourant. Il a notamment indiqué que ce diagnostic n’était pas cohérent avec l’anamnèse, la description des troubles de l’assuré, les données concernant sa journée-type et les données objectives de l’examen clinique. Un épisode dépressif sévère retrouvait un sujet en état de détresse associé à une agitation ou à un ralentissement marqué avec un tableau dominé par une perte de l’estime de soi, des idées de dévalorisation, des sentiments de culpabilité et comportait souvent des idées de suicides manifestes. Lors d’un tel épisode, le sujet était incapable de poursuivre ses activités sociales, professionnelles ou ménagères. Enfin, l’absence de traitement antidépresseur n’était pas en adéquation avec le diagnostic d’épisode dépressif sévère, au regard des risques suicidaires manifestes, des limitations fonctionnelles majeures touchant tous les secteurs de la vie et la souffrance psychique considérable. Il n’avait pas constaté de problèmes de mémoire ou de trouble de la concentration ou de l’attention. Son récit de vie était parfaitement chronologique, structuré et les repères temporels préservés. La divergence de diagnostics entre l’appréciation de l’expert et celle du psychiatre traitant de l’assuré repose ainsi sur un examen attentif des plaintes et éléments au dossier, en particulier le déroulement de sa journée-type. L’assuré ne conteste d’ailleurs pas la description de sa journée-type telle que rapportée par l’expert – qui rejoint d’ailleurs celle retenue par son psychiatre traitant –, se limitant à alléguer que son état de santé rend d’éventuelles relations socio-professionnelles très difficiles. Or, l’expert a retenu, sans que ce point n’ait été contesté par l’assuré, que ce dernier bénéficiait du soutien de ses filles, de ses frères et sœurs à Genève et au Caire, de son ex-épouse, de deux ex-beaux-frères, de nombreux amis et de son réseau de soins. Ses filles seraient même envieuses de ses « relations sociales hors normes ». Son psychiatre traitant avait d’ailleurs également relevé que l’assuré aimait le contact social, parlait facilement aux inconnus et avait beaucoup d’amis, qu’il voyait régulièrement. Il maintenait une très bonne relation avec son ex-femme et ses enfants. Il n’y a donc aucune raison de s’écarter de l’appréciation de l’expertise psychiatrique sur ce point. Ce rapport apparaît ainsi très motivé et permet de comprendre les conclusions prises et les raisons pour lesquelles l’expert s’écarte de celles prises par le psychiatre traitant. Il convient ainsi de reconnaître une pleine valeur probante à ce volet de l’expertise.</w:t>
      </w:r>
    </w:p>
    <w:p>
      <w:r>
        <w:t>A/2263/2024 - 14/15 - Quant à l’expert neurologue, dont les conclusions ne sont pas non plus remises en cause par l’assuré, il conclut à l’absence de limitations fonctionnelles neurologiques dans les activités de la vie courante. L’expert a retenu en particulier que l’examen neurologique de l’assuré était dans les limites des normes. Sa situation n’avait pas changé depuis 2018, étant précisé qu’il souffrait surtout de difficultés financières et de ne pas gagner sa vie suffisamment. Comme déjà indiqué, le recourant ne conteste pas ces éléments. Il se prévaut uniquement, au stade de la réplique, de « nouveaux symptômes » et d’une « modification de pathologie », sans donner de précisions quant à la nature de ces symptômes. Or, les faits survenus postérieurement à la décision entreprise doivent faire l’objet d’une nouvelle décision administrative. Il appartiendra, le cas échéant, à l’assuré de saisir l’intimé d’une nouvelle demande en fonction des résultats des examens réalisés en septembre 2024. Il convient ainsi de retenir que l’expertise bi-disciplinaire du 8 mai 2024 a pleine valeur probante et que ses conclusions peuvent être suivies. La capacité de travail du recours, au jour de la décision litigieuse, doit donc être considérée comme entière. C’est partant à juste titre que l’intimé a nié un droit aux prestations de l’assurance-invalidité.</w:t>
      </w:r>
    </w:p>
    <w:p>
      <w:r>
        <w:rPr>
          <w:b/>
        </w:rPr>
        <w:t>E. 4</w:t>
      </w:r>
    </w:p>
    <w:p>
      <w:r>
        <w:t>Mal fondé, le recours est rejeté. Il y a lieu de condamner le recourant au paiement d'un émolument de CHF 200.-. (art. 69 al. 1bis LAI)</w:t>
      </w:r>
    </w:p>
    <w:p>
      <w:r>
        <w:t>******</w:t>
      </w:r>
    </w:p>
    <w:p>
      <w:r>
        <w:t>A/2263/2024 - 15/15 -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