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ATAS/180/2019 vom 5. März 2019</w:t>
      </w:r>
    </w:p>
    <w:p>
      <w:r>
        <w:t>GE Cour de justice, 2019-03-05, FR</w:t>
      </w:r>
    </w:p>
    <w:p>
      <w:r>
        <w:rPr>
          <w:b/>
        </w:rPr>
        <w:t xml:space="preserve">Quelle: </w:t>
      </w:r>
      <w:r>
        <w:t>https://mcp.opencaselaw.ch/entscheid/ge_gerichte_ATAS_180_2019</w:t>
      </w:r>
    </w:p>
    <w:p>
      <w:r>
        <w:t>FR: GE_GERICHTE ATAS/180/2019 du 5 mars 2019</w:t>
      </w:r>
    </w:p>
    <w:p>
      <w:r>
        <w:t>IT: GE_GERICHTE ATAS/180/2019 del 5 marzo 2019</w:t>
      </w:r>
    </w:p>
    <w:p>
      <w:pPr>
        <w:pStyle w:val="Heading2"/>
      </w:pPr>
      <w:r>
        <w:t>Erwägungen</w:t>
      </w:r>
    </w:p>
    <w:p>
      <w:r>
        <w:rPr>
          <w:b/>
        </w:rPr>
        <w:t>E. 1</w:t>
      </w:r>
    </w:p>
    <w:p>
      <w:r>
        <w:t>a. Conformément à l'art. 134 al. 1 let. b de la loi sur l'organisation judiciaire du 26 septembre 2010 (LOJ - E 2 05), la CJCAS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w:t>
      </w:r>
    </w:p>
    <w:p>
      <w:r>
        <w:t>A/4664/2017 - 7/15 -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b. Par ailleurs, le for de l’action est au siège ou domicile suisse du défendeur ou au lieu de l’exploitation dans laquelle l’assuré a été engagé (art. 73 al. 3 LPP). c. En l’espèce, la contestation porte sur une question relevant spécifiquement de la prévoyance professionnelle (surobligatoire), soit sur le taux de la rente de conjoint survivant LPP que doit servir la défenderesse. Est plus particulièrement litigieuse la question de savoir si la quotité de cette prestation doit être fixée sur la base de l’édition 2016 du règlement de prévoyance, comme le soutient la défenderesse, ou de sa version 1995, comme l’invoque la demanderesse. Par ailleurs, le siège de la caisse de pensions défenderesse se trouve dans le canton de Genève. Partant, la CJCAS est compétente à raison du lieu et de la matière pour juger du cas d’espèce. d. La défenderesse objecte que la CJCAS n’est pas compétente pour connaître de litiges entre employeurs et employés, sans lien avec la prévoyance professionnelle. Tel n’est toutefois pas le cas en l’espèce : la contestation oppose une institution de prévoyance à un ayant droit et se rapporte, sous l’angle matériel, à la prévoyance professionnelle (surobligatoire), ce qui fonde la compétence de la CJCAS. e. Déposée dans les formes prescrites par l’art. 89B de la loi sur la procédure administrative du 12 septembre 1985 (LPA - E 5 10), la demande est recevable.</w:t>
      </w:r>
    </w:p>
    <w:p>
      <w:r>
        <w:rPr>
          <w:b/>
        </w:rPr>
        <w:t>E. 2</w:t>
      </w:r>
    </w:p>
    <w:p>
      <w:r>
        <w:t>La défenderesse invoque un défaut de légitimation passive, au motif que la demanderesse fonde principalement son action sur un avenant au contrat de travail signé par l’ancien employeur de son conjoint, soit par une personne morale distincte d’elle-même. a. Le point de savoir si une partie a la qualité pour agir (ou légitimation active) ou la qualité pour défendre (légitimation passive)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du Tribunal fédéral des assurances B 61/02 du 17 août 2005 consid. 3.2, in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(arrêt du Tribunal</w:t>
      </w:r>
    </w:p>
    <w:p>
      <w:r>
        <w:t>A/4664/2017 - 8/15 - fédéral des assurances B 10/05 du 30 mars 2006 consid. 7, in SVR 2006 BVG n° 34 p. 131 ; ATF 126 III 59 consid. 1 ; 125 III 82 consid. 1a). b. Selon la doctrine, il est fréquent que les ayants droit, se fondant sur un contrat de travail individuel ou une convention collective de travail, réclament des prestations aux institutions de prévoyance. Par le biais d'un contrat de travail, aucune réglementation contraignante ne peut cependant en principe être établie à la charge d'une institution de prévoyance, puisqu'elle n'est pas partie au contrat (ATF 120 V 340 consid. 3b). Afin que, dans le rapport entre ayant droit et institution de prévoyance, un droit aux prestations naisse, les dispositions déterminantes du contrat de travail doivent être transposées dans les statuts et dans le règlement de l'institution de prévoyance. Le droit aux prestations peut également naître par le fait que, d'après les statuts et le règlement, les droits et obligations de l'employeur et du travailleur dans le rapport de prévoyance sont régis par la convention collective de travail actuellement en vigueur. De même, l'approbation écrite du contrat de travail par l'institution de prévoyance est également suffisante. Si l'on est en présence d'aucune des trois situations précitées, le travailleur doit intenter une action contre l'employeur. (Ulrich MEYER / Laurence UTTINGER, in Commentaire LPP et LFLP, n° 31 ad art. 73 LPP). c. En l’occurrence, on ne saurait conclure à un défaut de légitimation passive de la caisse de pensions défenderesse, du seul fait que l’avenant au contrat de travail annexé à la demande a été signé par B______ SA, soit par l’employeur du conjoint décédé. En effet, la demande est fondée non seulement sur cette pièce, mais aussi sur l’édition 1995 du règlement de prévoyance de la défenderesse. Par ailleurs, la demande poursuit le versement d’une rente de veuve de quotité supérieure, prétention qui est dirigée à juste titre contre la défenderesse plutôt que contre l’employeur, lequel n’en est pas le débiteur. Partant, il convient d’examiner sur le fond si la prétention invoquée par la demanderesse est justifiée.</w:t>
      </w:r>
    </w:p>
    <w:p>
      <w:r>
        <w:rPr>
          <w:b/>
        </w:rPr>
        <w:t>E. 3</w:t>
      </w:r>
    </w:p>
    <w:p>
      <w:r>
        <w:t>L’art. 19 al. 1 LPP prescrit que le conjoint survivant a droit à une rente si, au décès de son conjoint, il remplit l’une ou l’autre des conditions suivantes : a. il a au moins un enfant à charge ; b. il a atteint l’âge de 45 ans et le mariage a duré au moins cinq ans.</w:t>
      </w:r>
    </w:p>
    <w:p>
      <w:r>
        <w:rPr>
          <w:b/>
        </w:rPr>
        <w:t>E. 4</w:t>
      </w:r>
    </w:p>
    <w:p>
      <w:r>
        <w:t>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w:t>
      </w:r>
    </w:p>
    <w:p>
      <w:r>
        <w:t>A/4664/2017 - 9/15 -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2010, n° 65 ss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(ATF 136 V 65 consid. 3.7 et les références et 114 V 239 consid. 6a).</w:t>
      </w:r>
    </w:p>
    <w:p>
      <w:r>
        <w:rPr>
          <w:b/>
        </w:rPr>
        <w:t>E. 5</w:t>
      </w:r>
    </w:p>
    <w:p>
      <w:r>
        <w:t>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w:t>
      </w:r>
    </w:p>
    <w:p>
      <w:r>
        <w:t>A/4664/2017 - 10/15 -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 ATF 140 V 145 consid. 3.3).</w:t>
      </w:r>
    </w:p>
    <w:p>
      <w:r>
        <w:rPr>
          <w:b/>
        </w:rPr>
        <w:t>E. 6</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 121 V 97 consid. 1a p. 100). Leur application ne soulève pas de difficultés en présence d'un événement unique, qui peut être facilement isolé dans le temps. S'agissant des prestations de survivants, l'on applique les règles en vigueur au moment du décès de l'assuré (SVR 1994, BVG no 12, p. 31), c'est-à-dire la date à laquelle naît le droit aux prestations du bénéficiaire (ATF 119 V 279 consid. 2).</w:t>
      </w:r>
    </w:p>
    <w:p>
      <w:r>
        <w:rPr>
          <w:b/>
        </w:rPr>
        <w:t>E. 7</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p. 29 ; 127 V 252 consid. 3b ; 117 V 221 consid. 4 p. 225 ; UELI KIESER, Besitzstand, Anwartschaften und wohlerworbene Rechte in der beruflichen Vorsorge, RSAS 1999 p. 305 ss). Une modification des statuts ou du règlement d'une institution de prévoyance est alors en principe admissible pour autant que la nouvelle réglementation soit conforme à la loi, ne s'avère pas arbitraire, ne conduise pas à une inégalité de traitement entre les assurés et ne porte pas atteinte à leurs droits acquis (ATF 121 V 97 consid. 1b).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À cet égard, les prestations</w:t>
      </w:r>
    </w:p>
    <w:p>
      <w:r>
        <w:t>A/4664/2017 - 11/15 -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La garantie des droits acquis porte sur ceux qui découlent de dispositions légales impératives et dont, par voie de conséquence, le destinataire ne saurait être privé. Par ailleurs, seule la prestation dans son principe constitue un droit acquis et non l'ampleur de celle-ci que le règlement a pour tâche de fixer. Celle-ci ne peut avoir qualité de droit acquis que lorsque la modification de règlement n'est pas autorisée (arrêts du Tribunal fédéral 9C_61/2017 du 1er juin 2017 consid. 4.2 ; 9C_140/2009 du 2 novembre 2009 consid. 4.3 et les références ; arrêt du Tribunal fédéral des assurances B 60/99 du 25 avril 2000 consid. 3c, in SVR 2000 BVG n° 12 p. 57).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(ATF 134 I 23 consid. 7.2 p. 36 et les références ; arrêt du Tribunal fédéral 9C_381/2010 du 20 décembre 2010 consid. 5).</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Il n'existe pas, en droit des assurances sociales, un principe selon lequel l'administration ou le juge devrait statuer, dans le doute, en faveur de l'assuré ; le défaut de preuve va au détriment de la partie qui entendait tirer un droit du fait non prouvé (ATF 126 V 319 consid. 5a ; arrêt du Tribunal fédéral des assurances I.339/03 du 19 novembre 2003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w:t>
      </w:r>
    </w:p>
    <w:p>
      <w:r>
        <w:t>En l’espèce, la défenderesse a chiffré la rente de conjoint survivant à CHF 7'315.- par mois – indemnité pour l’assurance-maladie non comprise – sur la base de son</w:t>
      </w:r>
    </w:p>
    <w:p>
      <w:r>
        <w:t>A/4664/2017 - 12/15 - règlement de prévoyance 2016, qui était en vigueur au moment du décès de l’époux de la demanderesse. Ce règlement fixe la rente de conjoint survivant à 60 % de la rente de retraite versée à l’assuré, tout en prévoyant cependant que « si l’âge du conjoint survivant est de plus de 12 ans inférieur à celui du conjoint défunt, le montant annuel de la rente de conjoint survivant est réduit de 0.2 % de son montant par mois entier qui excède 12 ans de différence d’âges » (art. 33 al. 1 et 2 du règlement de prévoyance 2016). Se fondant sur cette disposition, la défenderesse a minoré la rente de 13 % afin de tenir compte de la différence d’âge entre la demanderesse et son époux. De son côté, la demanderesse, qui conclut au versement d’une rente mensuelle de CHF 8'759.-, requiert l’application de l’édition 1995 du règlement de prévoyance, lequel ne prévoit pas, contrairement à sa version actuelle, de diminution de la rente lorsque la différence d’âge entre les conjoints excède 12 ans. La demanderesse allègue que seul ce règlement a été communiqué à son époux et elle-même. Elle estime avoir un droit acquis au versement d’une rente de conjoint survivant supérieure à celle qui lui est servie, dès lors qu’en 1990, B______ SA avait garanti à son mari que ses droits seraient maintenus, tels qu’ils étaient prévus dans le règlement jadis en vigueur.</w:t>
      </w:r>
    </w:p>
    <w:p>
      <w:r>
        <w:rPr>
          <w:b/>
        </w:rPr>
        <w:t>E. 10</w:t>
      </w:r>
    </w:p>
    <w:p>
      <w:r>
        <w:t>a. Comme le fait remarquer la demanderesse, dans le domaine de la prévoyance surobligatoire, il n’est pas possible de modifier unilatéralement un règlement de prévoyance en l’absence de clause spécifique. Tel n’est toutefois pas le cas en l’espèce : si le règlement de prévoyance 1995 qu’invoque la demanderesse ne contient pas – à l’instar de son édition 1987 – de disposition topique en la matière, il stipule néanmoins, à l’art. 8 ch. 8, que le conseil de fondation est compétent pour édicter les modifications éventuelles du règlement. Au travers de cette disposition, l'institution de prévoyance a clairement exprimé l'idée que le règlement de prévoyance – auquel l’époux de la demanderesse a adhéré – était susceptible d'être modifié en tout temps (arrêt du Tribunal fédéral 9C_1044/2012 du 25 juillet 2013 consid. 7.2 ; arrêt du Tribunal fédéral des assurances B 60/99 du 25 avril 2000 consid. 2b). Dès lors, il convient d’admettre que son conjoint a donné – à tout le moins implicitement – son accord à ce que des modifications réglementaires soient effectuées (ATAS/164/2015 du 4 mars 2015 consid. 6c). Il importe peu, en définitive, de savoir si l’édition 2016 du règlement de prévoyance a été communiquée au conjoint de la demanderesse, puisqu’en toute hypothèse, l’institution de prévoyance pouvait modifier son règlement unilatéralement, moyennant le respect de conditions jurisprudentielles dont la demanderesse ne conteste pas la réalisation (ATF 121 V 97 consid. 1b), sous réserve du droit acquis qu’elle fait valoir. b. La demanderesse estime bénéficier d’un droit acquis à ce que sa rente de conjoint survivant soit fixée à 60 % de celle qui était versée à son époux avant son décès. Elle explique qu’en 1990, B______ SA avait garanti par écrit à son mari que la rente de conjoint survivant serait fixée conformément au règlement de</w:t>
      </w:r>
    </w:p>
    <w:p>
      <w:r>
        <w:t>A/4664/2017 - 13/15 - prévoyance en vigueur à l’époque, lequel ne prévoyait pas, contrairement au règlement actuel, de diminution de la rente en fonction de la différence d’âge entre les conjoints. L’argumentation que développe la demanderesse est mal fondée. L’avenant du</w:t>
      </w:r>
    </w:p>
    <w:p>
      <w:r>
        <w:rPr>
          <w:b/>
        </w:rPr>
        <w:t>E. 15</w:t>
      </w:r>
    </w:p>
    <w:p>
      <w:r>
        <w:t>juin 1990 dont elle voudrait tirer argument pour prétendre à un droit acquis stipule que « la pension annuelle définie au point 12 du contrat de travail est la base de calcul de la rente de veuve et ce, conformément au règlement de la caisse de pensions, paragraphe 14 chiffre 3 » (traduction libre). De ce document, qui se limite à préciser que la rente de veuve se calcule sur la base de la pension de retraite définie dans le contrat de travail, conformément au règlement de l'institution de prévoyance, il ne ressort pas que le pourcentage et a fortiori le montant exacts de la rente de veuve auraient été arrêtés de manière irrévocable et soustraits aux effets de modifications ultérieures. Le seul renvoi au règlement de prévoyance n’autorise pas à conclure que la défenderesse aurait donné des garanties d’immutabilité en ce sens, ce d’autant qu’elle n’était pas partie à l’avenant invoqué, signé par l’employeur. Par ailleurs, lors de la signature de ce document, la rente de conjoint survivant ne constituait pour la demanderesse qu’une simple expectative, ne bénéficiant pas de la protection des droits acquis (ATF 117 V 229 consid. 5b). Enfin, même à supposer que l’on puisse qualifier la rente de conjoint survivant de droit acquis plutôt que d’expectative, il n’en demeurerait pas moins que, selon la jurisprudence, seule la prestation dans son principe constitue un droit acquis, et non l'ampleur de celle-ci, que le règlement doit fixer (arrêts du Tribunal fédéral 9C_61/2017 du 1er juin 2017 consid. 4.2 ; 9C_140/2009 du 2 novembre 2009 consid. 4.3 et les références ; arrêt du Tribunal fédéral des assurances B 60/99 du 25 avril 2000 consid. 3c, in SVR 2000 BVG n° 12 p. 57). Or, en l'occurrence, le droit à une rente de conjoint survivant n'est pas remis en cause en tant que tel. c. À supposer que la demanderesse entende invoquer la protection de sa bonne foi, son grief serait également infondé. En effet, comme cela vient d’être exposé, le montant de la rente de conjoint survivant, contrairement à la rente dans son principe, ne bénéficie pas de la protection des droits acquis. Par conséquent, faute d'une telle protection, la demanderesse ne saurait exciper d'une quelconque assurance donnée par l'institution de prévoyance avant l'entrée en vigueur du règlement de prévoyance 2016. Au demeurant, le droit à la protection de la bonne foi suppose, entre autres conditions, qu’un assuré se soit fondé sur un renseignement ou une décision erronés pour prendre des dispositions qu’il ne saurait modifier sans subir de préjudice (ATF 131 II 627 consid. 6.1). Or, la demanderesse ne cherche nullement à démontrer qu’elle aurait pris d’éventuelles dispositions auxquelles elle ne pourrait renoncer, sans subir de préjudice, de sorte que les conditions relatives à la protection de la bonne foi ne sont pas remplies. Enfin, on rappellera incidemment qu’une institution de prévoyance n'est liée par les renseignements qu'elle a donnés que dans la mesure où la réglementation n'a pas</w:t>
      </w:r>
    </w:p>
    <w:p>
      <w:r>
        <w:t>A/4664/2017 - 14/15 - subi de modification depuis lors, ce qui n’est précisément pas le cas ici (arrêt du Tribunal fédéral 9C_78/2007 du 15 janvier 2008 consid. 5.5.2). d. En matière de prestations de survivants, sont applicables les règles en vigueur au moment du décès de l'assuré, c'est-à-dire à la date à laquelle naît le droit aux prestations du bénéficiaire (ATF 119 V 279 consid. 2). Aussi est-ce à juste titre que la défenderesse a calculé la rente de conjoint survivant conformément au règlement de prévoyance en vigueur au moment du décès de l’assuré, en 2016, partant qu’elle a minoré ladite rente de 0.2 % pour chaque mois excédant une différence d’âge entre les conjoints de 12 ans (art. 33 al. 2 du règlement de prévoyance 2016). Eu égard à ce qui précède, les arguments que soulève la demanderesse pour prétendre à l’application d’une version antérieure du règlement sont infondés. 11. À titre superfétatoire et bien qu’elle ne développe pas d’argumentation en ce sens, on précisera encore que la demanderesse ne saurait tirer un quelconque bénéfice du courrier que lui a transmis la caisse de pensions le 28 novembre 2016. En effet, le calcul de rente qui y figurait reposait sur des bases erronées, puisqu’il ne tenait pas compte de la disposition réglementaire applicable lorsque la différence d’âge entre les conjoints excède 12 ans. Dans ce contexte, on rappellera que selon l'art. 35a al. 1 LPP, les prestations « indûment touchées » doivent être restituées, ce qui est notamment le cas lorsque les versements résultent d’une erreur de calcul de l’institution de prévoyance (arrêt du Tribunal fédéral 9C_643/2017 du 26 janvier 2018 consid. 4 ; Bettina KAHIL-WOLFF, in Commentaire LPP et LFLP, n° 6 ad art. 35a LPP). 12. La documentation versée au dossier permettant déjà à la chambre de céans de statuer en connaissance de cause sur le litige, il est inutile d’administrer d’autres preuves, par appréciation anticipée. 13. La demande est rejetée. 14. La procédure est gratuite (art. 89H al. 1 LPA). Vu l’issue de la cause, la demanderesse n’a pas droit à une indemnité de procédure (art. 89H al. 3 LPA). ******</w:t>
      </w:r>
    </w:p>
    <w:p>
      <w:r>
        <w:t>A/4664/2017 - 15/15 -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