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ATAS/180/2015 vom 5. März 2015</w:t>
      </w:r>
    </w:p>
    <w:p>
      <w:r>
        <w:t>GE Cour de justice, 2015-03-05, FR</w:t>
      </w:r>
    </w:p>
    <w:p>
      <w:r>
        <w:rPr>
          <w:b/>
        </w:rPr>
        <w:t xml:space="preserve">Quelle: </w:t>
      </w:r>
      <w:r>
        <w:t>https://mcp.opencaselaw.ch/entscheid/ge_gerichte_ATAS_180_2015</w:t>
      </w:r>
    </w:p>
    <w:p>
      <w:r>
        <w:t>FR: GE_GERICHTE ATAS/180/2015 du 5 mars 2015</w:t>
      </w:r>
    </w:p>
    <w:p>
      <w:r>
        <w:t>IT: GE_GERICHTE ATAS/180/2015 del 5 marzo 2015</w:t>
      </w:r>
    </w:p>
    <w:p>
      <w:pPr>
        <w:pStyle w:val="Heading2"/>
      </w:pPr>
      <w:r>
        <w:t>Erwägungen</w:t>
      </w:r>
    </w:p>
    <w:p>
      <w:r>
        <w:rPr>
          <w:b/>
        </w:rPr>
        <w:t>E. 12</w:t>
      </w:r>
    </w:p>
    <w:p>
      <w:r>
        <w:t>Par acte du 10 septembre 2014, l’assurée a interjeté recours auprès de la Cour de céans en concluant au renvoi du dossier à l’intimé pour qu’il statue à nouveau. La recourante conteste la prise en compte d’une contribution d’entretien potentielle. Elle explique que le père de sa fille survit en Côte d’Ivoire en exécutant quelques petits travaux lorsque l’occasion se présente et qu’il vit auprès de sa famille. Elle s’étonne que l’intimé adopte une position différente de celle du service des bourses. Elle demande quels documents elle peut produire pour prouver ses allégations et fait valoir que, quoi qu’il en soit, le montant mensuel CHF 673.- est exagéré dès lors qu’en Côte d’Ivoire, le revenu minimum mensuel s’élève à environ CHF 100.- et que le revenu moyen est à peine plus élevé.</w:t>
      </w:r>
    </w:p>
    <w:p>
      <w:r>
        <w:rPr>
          <w:b/>
        </w:rPr>
        <w:t>E. 13</w:t>
      </w:r>
    </w:p>
    <w:p>
      <w:r>
        <w:t>Invité à se déterminer, l’intimé, dans sa réponse du 29 septembre 2014, a conclu au rejet du recours.</w:t>
      </w:r>
    </w:p>
    <w:p>
      <w:r>
        <w:t>A/2709/2014 - 4/12 -</w:t>
      </w:r>
    </w:p>
    <w:p>
      <w:r>
        <w:rPr>
          <w:b/>
        </w:rPr>
        <w:t>E. 14</w:t>
      </w:r>
    </w:p>
    <w:p>
      <w:r>
        <w:t>Interpellée par la chambre de céans, la recourante a précisé par courrier du</w:t>
      </w:r>
    </w:p>
    <w:p>
      <w:r>
        <w:rPr>
          <w:b/>
        </w:rPr>
        <w:t>E. 17</w:t>
      </w:r>
    </w:p>
    <w:p>
      <w:r>
        <w:t>octobre 2014 que son recours ne concernait que le droit aux prestations complémentaires familiales, puisque le calcul relatif à l’aide sociale ne prenait pas en considération de pension alimentaire potentielle. 15. La chambre de céans a transmis cette écriture à l’intimé et gardé la cause à juger.</w:t>
      </w:r>
    </w:p>
    <w:p>
      <w:r>
        <w:t>EN DROIT</w:t>
      </w:r>
    </w:p>
    <w:p>
      <w:r>
        <w:t>1. Conformément à l'art. 134 al. 3 let. a de la loi sur l'organisation judiciaire, du 26 septembre 2010 (LOJ - E 2 05) en vigueur depuis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partie générale du droit des assurances sociales du 6 octobre 2000 (LPGA - RS 830; let. c). 3. Le délai de recours est de 30 jours (art. 62 al. 1 de la de loi sur la procédure administrative du 12 septembre 1985 [LPA - E 5 10]; art. 43 LPCC). Interjeté dans la forme et le délai prévus par la loi, le recours est recevable (art. 62 ss LPA). 4. Le litige porte sur la question de savoir si c’est à juste titre que l’intimé a tenu compte, dans ses calculs du droit aux prestations, d’une pension alimentaire hypothétique. 5.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Sont</w:t>
      </w:r>
    </w:p>
    <w:p>
      <w:r>
        <w:t>A/2709/2014 - 5/12 - considérés comme enfants au sens de l'article 36A, alinéa 1, lettre b, notamment, les enfants avec lesquels existe un lien de filiation en vertu du code civil (al. 2 let. a). L’art. 36A al. 4 LPCC précise que, pour bénéficier des prestations, le taux de l'activité lucrative mentionnée à l'article 36A, alinéa 1, lettre c, doit être, par année, au minimum de : 40% lorsque le groupe familial comprend une personne adulte (let. a) et de 90% lorsque le groupe familial comprend deux personnes adultes (let. b). D’après l’art. 36C LPCC,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(al. 1). Le droit aux prestations est reconnu au parent qui a la garde de l'enfant, attribuée par un jugement (al. 3) et, sous réserve de garde partagée fixée par un jugement, un seul et même enfant ne peut donner droit aux prestations que pour un seul groupe familial (al. 2 et 4). S'agissant des principes et calcul de la prestation, l'art. 36D LPCC précise que le montant annuel des prestations complémentaires familiales correspond à la part des dépenses reconnues au sens de l'article 36F qui excède le revenu déterminant au sens de l'article 36E, mais ne doit pas dépasser le montant prévu à l'article 15, alinéa 2 (al. 1). Les dépenses reconnues et les revenus déterminants des membres du groupe familial sont additionnés (al. 2). Selon l'al. 3, font partie du groupe familial : l'ayant droit (let. a);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alinéa 2 lettre c et font ménage commun avec eux (let. d). En vertu de l'art 36E al. 1 LPCC; le revenu déterminant est calculé conformément à l'article 11 de la loi fédérale, moyennant les adaptations suivantes : les ressources en espèces ou en nature provenant de l'exercice d'une activité lucrative sont intégralement prises en compte (let. a); le revenu déterminant est augmenté d'un cinquième de la fortune calculée en application de l'article 7 de la présente loi (let. b); les bourses d'études et autres aides financières destinées à l'instruction sont prises en compte (let. c); les ressources de l'enfant ou de l'orphelin à charge provenant de l'exercice d'une activité lucrative régulière sont prises en compte à raison de 50% (let. d). Lorsque l'ayant droit, son conjoint ou son partenaire enregistré renonce à faire valoir un droit à une pension alimentaire, pour lui-même ou en faveur d'un enfant, il est tenu compte d'une pension alimentaire hypothétique, dont le montant correspond aux avances minimales prévues par la législation cantonale en matière d'avance et de recouvrement des pensions alimentaires (al. 6). En application de l'art. 19 du règlement relatif aux prestations complémentaires familiales du 27 juin 2012 (J 4 25.04 - RPCFam), lorsqu'un ayant droit ou un membre du groupe familial renonce à des éléments de revenus ou renonce à faire</w:t>
      </w:r>
    </w:p>
    <w:p>
      <w:r>
        <w:t>A/2709/2014 - 6/12 - valoir un droit à un revenu, il est tenu compte d'un revenu hypothétique, conformément à l'article 11, alinéa 1, lettre g, de la loi fédérale (al. 1). Selon l’al. 2, les revenus hypothétiques suivants sont notamment pris en compte dans le revenu déterminant du groupe familial : un montant correspondant à la contribution d'entretien, due par les parents en vertu du code civil suisse à un ayant droit sous contrat d'apprentissage, âgé de moins de 25 ans, vivant dans son propre ménage. Si la contribution n'est pas déterminée par une convention ou dans un jugement, le service fixe le montant en appliquant par analogie les directives fédérales concernant les prestations complémentaires à l'AVS et à l'AI (let. a); un montant équivalent aux allocations de formation professionnelle lorsqu'un jeune adulte âgé de plus de 16 ans, mais de moins de 18 ans, ne poursuit aucune formation ou études (let. b). b) Le règlement d’application de la loi sur l’avance et le recouvrement des pensions alimentaires du 2 juin 1986 dans sa teneur en vigueur dès le 1er janvier 2009 (RARPA - E 1 25.01) prescrit que pour obtenir l’intervention du service, le créancier doit être domicilié ou résider de façon permanente dans le canton. (art. 2 al. 1). Le requérant doit fournir soit une convention approuvée par le Tribunal de protection de l’adulte et de l’enfant, soit une décision judiciaire exécutoire (art. 3). Le montant de l'avance en faveur d'un enfant correspond à celui de la pension fixée par le jugement ou la convention, mais au minimum à 673 F par mois et par enfant art. 4 al. 1). c) 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Ainsi, la cible du projet de loi est d'améliorer la situation économique des familles pauvres qui travaillent. L'exposé des motifs indique, à propos de l'art. 36E al. 5 LPCC, qu'en vertu de l'article 11 de la loi fédérale, applicable par le renvoi de l'article 36E, alinéa 1 LPCC, il faut considérer comme revenus tous les éléments de revenu et de fortune auxquels il aurait été renoncé, y compris la pension alimentaire. Si une telle pension est fixée par jugement, son montant est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(ci-après : le SCARPA). Dans ces cas, le calcul de sa prestation complémentaire familiale prend en compte une pension hypothétique de 673 fr. par mois et par enfant et de 833 fr. par mois pour le conjoint. Cette disposition ne sera bien entendu pas applicable lorsque le créancier d'une pension alimentaire est dans l'impossibilité de la réclamer (par exemple</w:t>
      </w:r>
    </w:p>
    <w:p>
      <w:r>
        <w:t>A/2709/2014 - 7/12 - lorsque le débiteur est parti pour une destination inconnue; MGC 2009-2010 III A et MGC 2010-2011 V A p. 3ss). 6. a) Selon l'art. 11 al. 1 LPC, les rentes, pensions et autres prestations périodiques, y compris les rentes de l’AVS et de l’AI (let. d), les allocations familiales (let. f) et les pensions alimentaires prévues par le droit de la famille (let. h) sont notamment des revenus déterminants. b) Les directives applicables aux prestations complémentaires fédérales dans leur version en vigueur au 1er janvier 2014 ici déterminant (ci-après : DPC) précisent que les prestations d’assistance (p. ex. les aliments), qui sur la base d’une réglementation cantonale ou communale sont versées sous forme d’avances, ont la priorité sur les PC et doivent être demandées par l’ayant droit, pour autant qu’il ne touche pas encore de telles prestations. Elles sont prises en compte intégralement dans les revenus (ch. 3491.03). Sont également prises en compte les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(ch. 3491.04). La preuve du caractère irrécouvrable de la créance incombe au bénéficiaire de PC (ch. 3482.09). Des contributions d’entretien fixées par le juge ou une autorité compétente lient les organes PC (ch. 3491.05). Si la contribution d’entretien repose sur un contrat qui n’a pas été approuvé par le juge ou une autorité compétente, l’organe PC tient compte de la contribution convenue pour autant que son montant ne soit pas manifestement trop bas (ch. 3491.06). Si aucune contribution d’entretien n’a été prévue en faveur des enfants, l’organe PC doit déterminer une éventuelle obligation y relative et en fixer le montant à prendre en compte sur la base des critères précisés par les directives (pourcentage du revenu du débirentier variable selon le nombre d'enfants créanciers). En principe, les prestations d’entretien en faveur des enfants sont la règle, étant précisé que le minimum vital doit ce faisant être garanti dans chaque cas (ch. 3493.01). c) En vertu de la jurisprudence, on peut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w:t>
      </w:r>
    </w:p>
    <w:p>
      <w:r>
        <w:t>A/2709/2014 - 8/12 - vraisemblance, rien au caractère irrécouvrable de la prétention (arrêt P68/02 du 11 février 2004). 7. a) Selon l'art. 276 du Code civil suisse du 10 décembre 1907 (CC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b)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L'obligation d'entretien trouve sa limite dans la capacité contributive du débirentier, en ce sens que, en présence de ressources financières limitées, le minimum vital du débirentier selon le droit des poursuites doit en principe être préservé (ATF 135 III 66 consid. 2; ATF 127 III 68 consid. 2c; ATF 123 III 1 consid. 3b/bb et consid. 5 in fine). Si les moyens financiers du débiteur sont suffisants, son minimum vital pourra être augmenté de certains montants, y compris les impôts; le solde disponible sera ensuite réparti entre les enfants en respectant le principe de l'égalité de traitement. Si ses moyens sont insuffisants, il faut partir de son minimum vital, sans prendre en considération la charge fiscale (ATF 126 III 353 consid. 1a/aa), et répartir le disponible selon le principe de l'égalité de traitement. En cas de situations financières serrées, il convient précisément de prendre comme point de départ le minimum vital au sens du droit des poursuites du débirentier, lequel doit être préservé, ce principe valant dans tous les domaines du droit de la famille (ATF 133 III 57 consid. 3; ATF 123 III 1 consid. 3b/bb). La loi n'impose pas de méthode de calcul de la contribution d'entretien (ATF 128 III 411 consid. 3.2.2). La fixation du montant de celle-ci relève du pouvoir d'appréciation du juge, qui applique les règles du droit et de l'équité (art. 4 CC; arrêt du Tribunal fédéral 5A_186/2012 du 28 juin 2012 consid. 6.2.3 et les arrêts cités). S'agissant toutefois de l'obligation d'entretien d'un enfant mineur, les exigences à l'égard des père et mère sont plus élevées, en sorte que ceux-ci doivent réellement épuiser leur capacité minimale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w:t>
      </w:r>
    </w:p>
    <w:p>
      <w:r>
        <w:t>A/2709/2014 - 9/12 -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FamPra.ch 2012 p. 228; arrêt du Tribunal fédéral 5A_120/2014 du 2 septembre 2014 consid. 4.1).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(arrêts 5A_662/2013 du 24 juin 2014 consid. 3.2.2;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ATF 128 III 4 consid. 4c/bb; arrêt du Tribunal fédéral 5A_120/2014, op. cit., consid. 4.2).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w:t>
      </w:r>
    </w:p>
    <w:p>
      <w:r>
        <w:t>A/2709/2014 - 10/12 - peut être imputée à l'adverse partie (ATF 124 V 372 consid. 3; RAMA 1999 n° U 344 p. 418 consid. 3). 9. En l’espèce, l’intimé a pris en compte dans ses calculs une contribution d'entretien hypothétique de CHF 673.- par mois pour la fille de la recourante, au motif que celle-ci n'avait pas démontré le caractère irrécouvrable de la contribution alimentaire. L’ordonnance du Tribunal de première instance d’Abidjan du 20 décembre 2004 confiant à la recourante l’autorité parentale sur sa fille ne statue pas sur une quelconque contribution d’entretien du père. En outre, la délégation volontaire de l’exercice des droits de la puissance paternelle du 17 novembre 2004 est également muette sur la question du versement d’une pension alimentaire. Dès lors, il n’existe aucun jugement ou convention écrite réglant l’étendue de l’obligation d’entretien du père vis-à-vis de sa fille. Par conséquent, contrairement à ce que soutient l’intimé, il ne s'agit pas d'examiner si la créance d'entretien fixée par le juge civil ou par convention est irrécouvrable, mais bien de déterminer si et dans quelle mesure le père, qui vit en Côte d’Ivoire, dispose des ressources suffisantes pour contribuer effectivement à l'entretien de sa fille vivant à Genève. A réception de la décision querellée, la recourante a expliqué l'absence de toute contribution d'entretien par la situation économique du père qui a perdu son emploi suite à la crise qui sévit en Côte d’Ivoire (cf. déclaration écrite du père du 3 décembre 2013). L’intimé a considéré que ces faits n’étaient pas établis et a confirmé ses calculs par décision sur opposition du 12 août 2014. Or, l’intimé ne pouvait statuer sur la base du dossier sans octroyer un délai à la recourante pour produire les pièces établissant les revenus et les charges du père de sa fille, afin de procéder au calcul du minimum vital (cf. DPC ch. 3493.01 et ATAS/1246/2013 consid. 10). En procédant au calcul du droit aux prestations sans déterminer concrètement le montant de la pension alimentaire qui aurait, cas échéant, été mise à la charge du père, l’intimé a violé son obligation d’instruire le cas d’office. Toutefois, cette violation n’a pas d’incidence car, quoi qu’il en soit, la différence de niveau de vie entre la Suisse et la Côte d’Ivoire ne permet pas d’exiger du père une contribution à l’entretien de sa fille sans entamer son minimum vital. En effet, il ressort des données de la Banque mondiale qu’en 2013 - date de la décision sur opposition -, le revenu national par habitant s’élevait en Côte d’Ivoire à $ 1’450.- (http://donnees.banquemondiale.org/pays/cote-d'ivoire), ce qui correspondait à environ 109.70 CHF/mois (0,908 x 1450 = 1316.60 : 12 ; http://fr.exchange- rates.org/Rate/USD/CHF/12-08-2014). En outre, depuis novembre 2013, le salaire minimum interprofessionnel garanti pour les salariés de Côte d’Ivoire est de XAF 60'000.- (http://www.cleiss.fr/docs/regimes/regime_cotedivoire.html), ce qui correspond à 110.95 CHF/mois (18.4925 x 6 ; http://fr.exchange- rates.org/Rate/XAF/CHF/12-08-2014).</w:t>
      </w:r>
    </w:p>
    <w:p>
      <w:r>
        <w:t>A/2709/2014 - 11/12 - Par conséquent, une contribution d’entretien mensuelle de CHF 673.- - telle que prise en compte par l’intimé dans son calcul du droit aux prestations - entame le minimum vital du père, de sorte qu’elle ne peut pas être exigée de sa part, respectivement, ne doit pas être inclue dans le calcul. 10. Au vu de ce qui précède, le recours est admis et la décision sur opposition du 12 août 2014 est annulée. Le dossier est renvoyé à l’intimé pour nouveau calcul du droit aux prestations ne tenant pas compte d’une pension alimentaire potentielle. Bien qu’elle obtienne gain de cause, la recourante n’est pas représentée, de sorte qu’elle n’a pas droit à des dépens. En effet,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ATFA non publié K 10/99 du 11 décembre 2001, consid. 6). En l’espèce, ces conditions ne sont pas remplies car l’affaire n’est pas complexe et l’objet litigieux n’est pas élevé. De plus, le temps qu’elle a consacré à la défense de ses intérêts ne dépasse pas la mesure de ce qui peut être considéré comme raisonnable. Pour le surplus, la procédure est gratuite (art. 61 let. a LPGA).</w:t>
      </w:r>
    </w:p>
    <w:p>
      <w:r>
        <w:t>A/2709/2014 - 12/12 -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