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ATAS/180/2011 vom 15. April 2010</w:t>
      </w:r>
    </w:p>
    <w:p>
      <w:r>
        <w:t>GE Cour de justice, 2010-04-15, FR</w:t>
      </w:r>
    </w:p>
    <w:p>
      <w:r>
        <w:rPr>
          <w:b/>
        </w:rPr>
        <w:t xml:space="preserve">Quelle: </w:t>
      </w:r>
      <w:r>
        <w:t>https://mcp.opencaselaw.ch/entscheid/ge_gerichte_ATAS_180_2011</w:t>
      </w:r>
    </w:p>
    <w:p>
      <w:r>
        <w:t>FR: GE_GERICHTE ATAS/180/2011 du 15 avril 2010</w:t>
      </w:r>
    </w:p>
    <w:p>
      <w:r>
        <w:t>IT: GE_GERICHTE ATAS/180/2011 del 15 aprile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t>A/5/2011 4/6</w:t>
      </w:r>
    </w:p>
    <w:p>
      <w:r>
        <w:rPr>
          <w:b/>
        </w:rPr>
        <w:t>E. 3</w:t>
      </w:r>
    </w:p>
    <w:p>
      <w:r>
        <w:t>En l’espèce, le juge de première instance a ordonné le partage par moitié des prestations de sortie acquises durant le mariage par les demandeurs. Les dates pertinentes sont, d’une part, le 23 juin 1988, date du mariage, d’autre part le 21 mai 2010,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262'099 fr. 65 (70'727.65 + 197'000 - 5'628) tandis que celle acquise par la demanderesse atteint la somme de 275'091 fr. 40 (286'186.25 - 11'094.85), les intérêts ayant déjà été calculés par les institutions de prévoyance défenderesses. Ainsi le demandeur doit à son ex-épouse le montant de 131'049 fr. 85 (262'099.65 : 2) alors qu'elle lui doit celui de 137'545 fr. 70 (275'091.40 : 2), de sorte que c’est en définitive la demanderesse qui doit à son ex- époux le montant de 6'495 fr. 85 (137'545.70 - 131'049.85).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w:t>
      </w:r>
    </w:p>
    <w:p>
      <w:r>
        <w:t>A/5/2011 5/6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w:t>
      </w:r>
    </w:p>
    <w:p>
      <w:r>
        <w:t>A/5/2011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