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ATAS/17/2019 vom 15. Januar 2019</w:t>
      </w:r>
    </w:p>
    <w:p>
      <w:r>
        <w:t>GE Cour de justice, 2019-01-15, FR</w:t>
      </w:r>
    </w:p>
    <w:p>
      <w:r>
        <w:rPr>
          <w:b/>
        </w:rPr>
        <w:t xml:space="preserve">Quelle: </w:t>
      </w:r>
      <w:r>
        <w:t>https://mcp.opencaselaw.ch/entscheid/ge_gerichte_ATAS_17_2019</w:t>
      </w:r>
    </w:p>
    <w:p>
      <w:r>
        <w:t>FR: GE_GERICHTE ATAS/17/2019 du 15 janvier 2019</w:t>
      </w:r>
    </w:p>
    <w:p>
      <w:r>
        <w:t>IT: GE_GERICHTE ATAS/17/2019 del 15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de l’assurée à des prestations de l’assurance-invalidité.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(art. 28 al. 1 let. b et c LAI, dans sa teneur en vigueur depuis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w:t>
      </w:r>
    </w:p>
    <w:p>
      <w:r>
        <w:t>A/4769/2017 - 9/15 -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A/4769/2017 - 10/15 -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l’espèce, la recourante soutient que l’expertise de la clinique Corela sur laquelle repose la décision attaquée n’a pas de valeur probante ; elle requiert la mise en œuvre d’une expertise judiciaire en psychiatrie et neuropsychologie. a. Dans un arrêt du 22 décembre 2017, le Tribunal fédéral a souligné que les expertises pratiquées auprès du "département expertise" de la clinique précitée ont un poids déterminant pour de nombreux justiciables et que l'on doit en attendre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en particulier des graves violations des devoirs professionnels incombant à une personne responsable d'un tel établissement. En particulier, cette personne – le responsable médical du "département expertise" – a</w:t>
      </w:r>
    </w:p>
    <w:p>
      <w:r>
        <w:t>A/4769/2017 - 11/15 - modifié (notamment sur des points non négligeables, dont des diagnostics) et signé des dizaines d'expertises sans avoir vu les expertisés et sans l'accord de l'expert, ce qui constitue un comportement inadmissible relevant d'un manquement grave au devoir professionnel. C'est pourquoi le Tribunal fédéral a jugé qu'une mesure de retrait de trois mois de l'autorisation d'exploiter le "département expertise" n'était pas contraire au droit (arrêt du Tribunal fédéral 2C_32/2017 consid. 6 et 7). b. À la suite de cet arrêt, la Cour de justice de la République et canton de Genève a publié un communiqué de presse aux termes duquel les assurés dont le droit à des prestations a été nié sur la base d'une expertise effectuée à la clinique précitée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De son côté, répondant à la question de Madame la Conseillère nationale Rebecca RUIZ (question 18.5054; consultable sur le lien https://www.parlament.ch/fr/ratsbetrieb/suche-curia- vista/geschaeft?AffairId=20185054), le Conseil fédéral a indiqué que les organes de l'assurance-invalidité avaient renoncé à confier des mandats d'expertise à cette clinique depuis 2015 et qu'ils venaient de résilier la convention tarifaire conclue avec celle-ci. c. Dans une procédure où était notamment contestée la valeur probante d’une expertise orthopédique réalisée en février 2016 par un médecin de la clinique en cause, le Tribunal fédéral, par arrêt du 14 mai 2018, a estimé qu’au vu des circonstances rappelées ci-dessus, il n’était pas certain que l’on puisse accorder pleine confiance aux conclusions de cette expertise. La juridiction cantonale était donc fondée à s’en écarter et à renvoyer la cause à l’assurance-accidents pour instruction complémentaire (arrêt du Tribunal fédéral 8C_657/2017 consid. 5.2.2). d. Enfin, dans un arrêt publié du 16 août 2018, le Tribunal fédéral a relevé qu’en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dans la procédure relative au retrait de l'autorisation de la clinique précitée (arrêt du Tribunal fédéral 2C_32/2017 du 22 décembre 2017 consid. 7.1)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w:t>
      </w:r>
    </w:p>
    <w:p>
      <w:r>
        <w:t>A/4769/2017 - 12/15 - l'organe d'exécution de l'assurance-invalidité ou le juge ne peut se fonder sur un rapport médical qui, en soi, remplit les exigences en matière de valeur probante lorsqu'il existe des circonstances qui soulèvent des doutes quant à l'impartialité et l'indépendance de son auteur, fondés non pas sur une impression subjective mais une approche objective, il n’est pas admissible de reprendre les conclusions d'une expertise établie dans des circonstances ébranlant de manière générale la confiance placée dans l'institution mandatée pour l'expertise en cause (ATF 144 V 258 consid. 2.3.2).</w:t>
      </w:r>
    </w:p>
    <w:p>
      <w:r>
        <w:rPr>
          <w:b/>
        </w:rPr>
        <w:t>E. 10</w:t>
      </w:r>
    </w:p>
    <w:p>
      <w:r>
        <w:t>En l'occurrence, les manquements constatés au sein du « département expertise » de la clinique Corela dans la procédure relative au retrait de l’autorisation d’exploiter cet établissement soulèvent de sérieux doute quant à la manière dont des dizaines d’expertises y ont été effectuées et portent atteinte à la confiance que l’on est en droit d’attendre d’une institution chargée de réaliser une expertise. Dans ces conditions, la chambre de céans ne saurait faire siennes les conclusions de cette expertise, établie dans des circonstances qui – comme l’a relevé le Tribunal fédéral –, ébranlent de manière générale la confiance placée dans l’institution mandatée pour la réaliser (ATF 144 V 258 consid. 2.3.2). En conséquence, il n’est pas possible de se fonder sur ce document pour statuer sur le droit de l’assurée à des prestations de l'assurance-invalidité. Il importe peu de savoir si le responsable médical du « département expertise » est concrètement intervenu dans la rédaction du rapport d’expertise, voire en a modifié le contenu à l'insu de son auteur, parce qu'il n'est en tout état de cause pas possible d'accorder pleine confiance au rapport du 1er avril 2016 (complété le 1er septembre 2016), qui a été établi sous l'enseigne de la clinique Corela (ATF 144 V 258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résulte de ce qui précède qu’une pleine valeur probante ne peut être reconnue à l’expertise sur laquelle l’intimé s’est fondé pour statuer. Par ailleurs, force est de constater que le dossier ne contient aucun autre rapport, suffisamment étayé, qui permettrait à la chambre de céans de se déterminer sur la capacité de travail de l’assurée suite au traumatisme crânio-cérébral sévère qu’elle a subi en 2012, partant sur son degré d’invalidité et son droit à des prestations de l’intimé. L’instruction se révèle donc incomplète.</w:t>
      </w:r>
    </w:p>
    <w:p>
      <w:r>
        <w:rPr>
          <w:b/>
        </w:rPr>
        <w:t>E. 11</w:t>
      </w:r>
    </w:p>
    <w:p>
      <w:r>
        <w:t>Selon la jurisprudence (DTA 2001 p. 169), le juge cantonal qui estime que les faits ne sont pas suffisamment élucidés a en principe le choix entre deux solutions : soit renvoyer la cause à l’administration pour complément d’instruction, soit procéder</w:t>
      </w:r>
    </w:p>
    <w:p>
      <w:r>
        <w:t>A/4769/2017 - 13/15 -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 En l’occurrence, la décision attaquée repose sur une instruction incomplète et l’intimé l’a rendue sur la base d’un rapport de la clinique Corela exempt de valeur probante, sans mettre en œuvre d’expertise. Partant, la cause lui sera renvoyée pour ce faire, conformément à l’art. 44 LPGA ; il n’appartient en effet pas au juge de suppléer aux carences de l’instruction entreprise par l’intimé. L’OAI diligentera une expertise auprès d’experts indépendants, après avoir donné la possibilité à la recourante de se prononcer sur la personne des experts retenus, les questions à leur soumettre et les disciplines médicales à investiguer. C’est le lieu de relever que dans diverses causes similaires, le Tribunal fédéral et la juridiction de céans ont renvoyé la cause à l’administration pour instruction complémentaire (ATF 144 V 258 consid. 3.1 ; arrêt du Tribunal fédéral 8C_657/2017 consid. 5.2.2 ; ATAS/772/2018 consid. 9 ; ATAS/854/2018 consid. 11 ; ATAS/989/2018 consid. 9 ; ATAS/1009/2018 consid. 9). Cette solution a l’avantage de ne pas priver l’assurée d’un degré de juridiction.</w:t>
      </w:r>
    </w:p>
    <w:p>
      <w:r>
        <w:rPr>
          <w:b/>
        </w:rPr>
        <w:t>E. 12</w:t>
      </w:r>
    </w:p>
    <w:p>
      <w:r>
        <w:t>Enfin, la recourante requiert que l'expertise de la clinique Corela soit écartée du dossier préalablement au complément d’instruction. Toutefois, comme cela a été précédemment retenu, l’intimé devra mettre en œuvre une expertise auprès d’experts indépendants (art. 44 LPGA). Dans la mesure où il incombera aux experts d’accomplir leur mandat en toute indépendance, rien ne permet de supposer qu’ils ne seront pas à même de le faire, du fait qu’une expertise antérieure figure dans le dossier. Il n’y a dès lors pas lieu d’extraire l’expertise de la clinique Corela du dossier dont elle fait partie.</w:t>
      </w:r>
    </w:p>
    <w:p>
      <w:r>
        <w:rPr>
          <w:b/>
        </w:rPr>
        <w:t>E. 13</w:t>
      </w:r>
    </w:p>
    <w:p>
      <w:r>
        <w:t>Partant, le recours est partiellement admis et la décision du 31 octobre 2017, annulée. La cause est renvoyée à l’OAI pour qu’il complète l’instruction dans le sens qui précède, puis rende une nouvelle décision.</w:t>
      </w:r>
    </w:p>
    <w:p>
      <w:r>
        <w:rPr>
          <w:b/>
        </w:rPr>
        <w:t>E. 14</w:t>
      </w:r>
    </w:p>
    <w:p>
      <w:r>
        <w:t>La recourante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w:t>
      </w:r>
    </w:p>
    <w:p>
      <w:r>
        <w:t>A/4769/2017 - 14/15 -</w:t>
      </w:r>
    </w:p>
    <w:p>
      <w:r>
        <w:rPr>
          <w:b/>
        </w:rPr>
        <w:t>E. 15</w:t>
      </w:r>
    </w:p>
    <w:p>
      <w:r>
        <w:t>La procédure de recours en matière de contestation portant sur l’octroi ou le refus de prestations de l’assurance-invalidité étant soumise à des frais de justice, un émolument de CHF 200.- est mis à charge de l’intimé (art. 69 al. 1 bis LAI).</w:t>
      </w:r>
    </w:p>
    <w:p>
      <w:r>
        <w:t>******</w:t>
      </w:r>
    </w:p>
    <w:p>
      <w:r>
        <w:t>A/4769/2017 - 15/15 -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