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ATAS/179/2022 vom 17. Februar 2022</w:t>
      </w:r>
    </w:p>
    <w:p>
      <w:r>
        <w:t>GE Cour de justice, 2022-02-17, FR</w:t>
      </w:r>
    </w:p>
    <w:p>
      <w:r>
        <w:rPr>
          <w:b/>
        </w:rPr>
        <w:t xml:space="preserve">Quelle: </w:t>
      </w:r>
      <w:r>
        <w:t>https://mcp.opencaselaw.ch/entscheid/ge_gerichte_ATAS_179_2022</w:t>
      </w:r>
    </w:p>
    <w:p>
      <w:r>
        <w:t>FR: GE_GERICHTE ATAS/179/2022 du 17 février 2022</w:t>
      </w:r>
    </w:p>
    <w:p>
      <w:r>
        <w:t>IT: GE_GERICHTE ATAS/179/2022 del 17 febbraio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4</w:t>
      </w:r>
    </w:p>
    <w:p>
      <w:r>
        <w:t>Le litige porte sur le montant et le calcul des prestations complémentaires, en particulier sur les montants pris en compte à titre d'épargne et de fortune immobilière. L'intimé, dans ses diverses écritures, a expliqué en détails les règles s'appliquant à la prise en compte de l'épargne et de la fortune immobilière. Qui plus est, ses explications ont donné satisfaction à la recourante, qui ne conteste plus le montant de l'épargne et qui a indiqué se rallier aux corrections proposées par l'intimé, à savoir, la prise en compte :</w:t>
      </w:r>
    </w:p>
    <w:p>
      <w:r>
        <w:t>A/3254/2021 - 4/5 - - à titre de bien immobilier, de la part de copropriété à 50% de la valeur de la maison de famille sise en France; - de l'usufruit, correspondant à un quart de la valeur locative de l’immeuble; - des coûts à la charge de l’usufruitière, soit en l’occurrence les frais d’entretien de l’immeuble pour la part lui revenant, au titre des dépenses.</w:t>
      </w:r>
    </w:p>
    <w:p>
      <w:r>
        <w:rPr>
          <w:b/>
        </w:rPr>
        <w:t>E. 5</w:t>
      </w:r>
    </w:p>
    <w:p>
      <w:r>
        <w:t>Il convient de prendre acte de l'accord des parties, d'admettre partiellement le recours dans le sens précité et de renvoyer la cause à l'intimé pour calcul des prestations dues.</w:t>
      </w:r>
    </w:p>
    <w:p>
      <w:r>
        <w:rPr>
          <w:b/>
        </w:rPr>
        <w:t>E. 6</w:t>
      </w:r>
    </w:p>
    <w:p>
      <w:r>
        <w:t>Le recours est rejeté pour le surplus.</w:t>
      </w:r>
    </w:p>
    <w:p>
      <w:r>
        <w:rPr>
          <w:b/>
        </w:rPr>
        <w:t>E. 7</w:t>
      </w:r>
    </w:p>
    <w:p>
      <w:r>
        <w:t>La procédure est gratuite.</w:t>
      </w:r>
    </w:p>
    <w:p>
      <w:r>
        <w:t>A/3254/2021 - 5/5 -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