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ATAS/179/2021 vom 4. März 2021</w:t>
      </w:r>
    </w:p>
    <w:p>
      <w:r>
        <w:t>GE Cour de justice, 2021-03-04, FR</w:t>
      </w:r>
    </w:p>
    <w:p>
      <w:r>
        <w:rPr>
          <w:b/>
        </w:rPr>
        <w:t xml:space="preserve">Quelle: </w:t>
      </w:r>
      <w:r>
        <w:t>https://mcp.opencaselaw.ch/entscheid/ge_gerichte_ATAS_179_2021</w:t>
      </w:r>
    </w:p>
    <w:p>
      <w:r>
        <w:t>FR: GE_GERICHTE ATAS/179/2021 du 4 mars 2021</w:t>
      </w:r>
    </w:p>
    <w:p>
      <w:r>
        <w:t>IT: GE_GERICHTE ATAS/179/2021 del 4 marzo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A/753/2020 - 16/26 -</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présent recours était, au 1er janvier 2021, pendant devant la chambre de céans, il reste soumis à l'ancien droit (art. 83 LPGA).</w:t>
      </w:r>
    </w:p>
    <w:p>
      <w:r>
        <w:rPr>
          <w:b/>
        </w:rPr>
        <w:t>E. 3</w:t>
      </w:r>
    </w:p>
    <w:p>
      <w:r>
        <w:t>Le délai de recours est de trente jours (art. 56 LPGA ; art. 62 al. 1 de la de loi sur la procédure administrative du 12 septembre 1985 [LPA - E 5 10]). Lorsque le délai échoit un samedi, un dimanche ou un jour férié selon le droit fédéral ou cantonal, son terme est reporté au premier jour ouvrable qui suit (art. 38 al. 3, 1ère phrase LPGA). Interjeté dans la forme et le délai prévus par la loi, le recours du 2 mars 2020 contre la décision du 29 janvier 2020 est recevable.</w:t>
      </w:r>
    </w:p>
    <w:p>
      <w:r>
        <w:rPr>
          <w:b/>
        </w:rPr>
        <w:t>E. 4</w:t>
      </w:r>
    </w:p>
    <w:p>
      <w:r>
        <w:t>a. Le litige porte sur le bien-fondé de la décision sur opposition du 29 janvier 2020, par laquelle l’intimée a confirmé sa décision du 10 septembre 2019, statuant sur les droits de la recourante à une rente d’invalidité, à la prise en charge des frais de traitement et à une indemnité pour atteinte à l’intégrité. Il est rappelé que la décision du 15 mai 2019, mettant formellement fin au versement des indemnités journalières et au paiement des frais de traitement au 30 juin 2019, a été annulée par courrier du 20 juin 2019. Dans ce dernier, l’intimée a considéré que l’état de santé de l’intéressée était stabilisé et que le droit auxdites prestations prendrait fin au 31 juillet 2019. b. Selon la jurisprudence, la question de la suspension des indemnités journalières et du traitement médical d'une part, et de l'examen des conditions du droit à la rente d'autre part, forment un seul objet du litige (ATF 144 V 354 consid. 4.2). c. Partant, il doit être admis qu'en rendant, en date du 29 janvier 2020, une décision formelle de refus de rente, l’intimée a également, par voie de conséquence, refusé formellement le versement de l'indemnité journalière au-delà du 31 juillet 2019, tel que stipulé dans sa missive du 20 juin 2019. Le litige porte donc sur le droit aux prestations de la recourante au-delà du 31 juillet 2019, cas échéant sur l’évaluation de l’invalidité et le taux de l’indemnité pour atteinte à l’intégrité.</w:t>
      </w:r>
    </w:p>
    <w:p>
      <w:r>
        <w:rPr>
          <w:b/>
        </w:rPr>
        <w:t>E. 5</w:t>
      </w:r>
    </w:p>
    <w:p>
      <w:r>
        <w:t>a. Selon l'art. 6 al. 1 LAA, les prestations d'assurance sont allouées en cas d'accident professionnel, d'accident non professionnel et de maladie professionnelle. À teneur de l’art. 4 LPGA, est réputée accident toute atteinte dommageable, soudaine et involontaire, portée au corps humain par une cause extérieure extraordinaire qui compromet la santé physique, mentale ou psychique ou qui entraîne la mort. Aux termes de l'art. 10 al. 1 LAA, l'assuré a droit au traitement médical approprié des lésions résultant de l'accident.</w:t>
      </w:r>
    </w:p>
    <w:p>
      <w:r>
        <w:t>A/753/2020 - 17/26 -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Conformément à l’art. 18 al. 1 LAA, si l’assuré est invalide (art. 8 LPGA) à 10% au moins par suite d’un accident, il a droit à une rente d’invalidité, pour autant que l’accident soit survenu avant l’âge ordinaire de la retraite. L’art. 19 al. 1, 1ère phrase, LAA précise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b. Le droit au traitement médical et aux indemnités journalières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w:t>
      </w:r>
    </w:p>
    <w:p>
      <w:r>
        <w:t>A/753/2020 - 18/26 - p. 388, U 244/04 consid. 3.1 ; arrêt du Tribunal fédéral 8C_179/2014 du 16 mars 2015 consid. 4.1).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A/753/2020 - 19/26 -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t>A/753/2020 - 20/26 -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l’intimée a mis un terme au versement des indemnités journalières et à la prise en charge des frais de traitement (hormis une à deux consultations médicales de contrôle par année, deux séries de neuf séances de physiothérapie complémentaire pour l’année 2019, ainsi que les éventuels médicaments antalgiques ou anti-inflammatoires à doses modérées) au 31 juillet 2019, date à partir de laquelle elle a considéré, sur la base des avis de ses médecins-conseils, qu’il n’y avait plus lieu d’attendre de la continuation du traitement une amélioration notable des suites de l’accident. Il convient donc d’examiner la valeur probante des différents rapports du Dr H______ et de la Dresse I______.</w:t>
      </w:r>
    </w:p>
    <w:p>
      <w:r>
        <w:rPr>
          <w:b/>
        </w:rPr>
        <w:t>E. 10</w:t>
      </w:r>
    </w:p>
    <w:p>
      <w:r>
        <w:t>a. La chambre de céans observe d’emblée que, contrairement à ce que mentionne le courrier de l’intimée du 20 juin 2019, le Dr H______ ne s’est pas expressément déterminé sur la stabilisation de l’état de santé de la recourante.</w:t>
      </w:r>
    </w:p>
    <w:p>
      <w:r>
        <w:t>A/753/2020 - 21/26 - En effet, dans ses avis rendus jusqu’au 20 juin 2019, il s’est avant tout prononcé sur l’exigibilité d’une reprise de l’activité habituelle, exercée selon les modalités qui prévalaient avant le sinistre assuré (cf. avis des 6 et 13 mai, 12 juin 2019). Par la suite, il a uniquement été invité à prendre position sur la capacité de travail résiduelle dans une activité adaptée, sans se déterminer sur une possible amélioration de l’état de santé grâce aux traitements « justifiés » qui devaient être « maintenus » (cf. avis des 26 juin et 28 août 2019). b. La chambre de céans constate ensuite que les conclusions du médecin d’arrondissement, relatives à la capacité de travail de la recourante eu égard à son taux d’activité usuel, reposent pour l’essentiel sur la prémisse erronée que l’état de santé de l’intéressée lui avait permis de reprendre son activité habituelle à 50%, sans difficulté. Ainsi, dans son avis du 19 octobre 2018, le médecin-conseil a simplement indiqué attendre le dernier rapport du chirurgien, soit celui du 10 octobre 2018, ajoutant qu’en l’absence de problème, une reprise à 100% serait envisagée. Dans sa détermination du 1er mai 2019, le Dr H______ a préconisé un séjour à la CRR « pour rééducation et évaluation des capacités fonctionnelles », sans que l’on sache si le rapport du Dr D______ du 10 octobre 2018 lui avait été soumis. C’est le lieu de relever que, contrairement aux allégations de l’intimée, les pièces produites n’établissent pas que la recourante aurait refusé un tel séjour. Le 6 mai 2019, le médecin-conseil a changé d’avis et conclu qu’une reprise professionnelle pouvait être attendue à 100% dans la même activité, comme évoqué dans son avis du 19 octobre 2018, aux motifs que l’intéressée travaillait habituellement comme employée de maison à raison de 17h30 par semaine, qu’elle avait repris son activité à 50% depuis le mois de janvier 2019 et que cela « se passait bien ». Or, il ressort clairement des rapports des médecins qui suivaient la recourante que cette dernière avait relaté une recrudescence des douleurs depuis la reprise thérapeutique à 50% (cf. rapport du Dr D______ du 10 octobre 2018) et que les difficultés ont subsisté après la reprise du travail à 50% en janvier 2019 (cf. rapports de la Dresse F______ des 21 mai et 18 septembre 2019). De surcroît, la recourante ne parvenait pas à accomplir toutes les tâches inhérentes à sa fonction, comme par exemple passer l’aspirateur, déplacer des meubles, nettoyer les fenêtres ou encore sortir les poubelles. Elle n’a donc jamais été mesure de reprendre son activité d’employée de maison, même à 50%, puisque les tâches qui lui ont été confiées dans le cadre de cette reprise ont été allégées par l’employeur (cf. procès- verbaux des entretiens des 29 juin et 12 octobre 2018, 28 janvier 2019). Dans de telles circonstances, on ne saurait considérer que la reprise se passait bien. Par avis du 13 mai 2019, le médecin d’arrondissement a maintenu qu’une reprise d’activité au taux antérieur pouvait être attendue dès le 1er mai 2019. Il a rappelé que la recourante travaillait toujours à 50% et qu’elle avait pu diminuer son traitement antidouleur. Il a également relevé que le Dr D______ avait signalé une</w:t>
      </w:r>
    </w:p>
    <w:p>
      <w:r>
        <w:t>A/753/2020 - 22/26 - pseudo-radiculalgie à la face latérale de la cuisse, que les douleurs n’apparaissaient qu’au second plan et n’occasionnaient qu’une gêne modérée, que le bilan radiologique montrait des implants bien en place et qu’un renforcement musculaire avait été prescrit en lien avec les douleurs liées au mécanisme de compensation d’une hypolordose lombaire. Comme déjà constaté, on ne saurait retenir que la recourante avait repris son activité d’employée de maison à 50% puisqu’elle n’était pas en mesure d’effectuer de nombreuses tâches. De plus, si le chirurgien a effectivement noté que les maux résultant de la pseudo-radiculalgie apparaissaient « au second plan » et n’occasionnaient qu’une « gêne modérée », il a également retenu que les douleurs mécaniques en barre, mises sur le compte d’un mécanisme de compensation d’une hypolordose lombaire, étaient toujours présentes et que les douleurs inflammatoires en regard du site opératoire persistaient, avec une minime amélioration (5/10 EVA contre 6/10 EVA lors du dernier contrôle) et des réveils nocturnes moins fréquents (cf. rapport du Dr D______ du 11 février 2019). Concernant la diminution du traitement médicamenteux, il sied de souligner que l’arrêt de Co-Dafalgan a été motivé par des effets indésirables (cf. rapport du Dr D______ du 4 décembre 2017) et que l’intéressée a déploré une aggravation des douleurs suite à l’arrêt du Zaldiar (cf. rapport du Dr D______ du 10 octobre 2018), ce qui a d’ailleurs nécessité une augmentation du traitement, avec l’introduction de Dafalgan et d’Omeprazol, en sus de l’Irfen et du Sirdalud (cf. attestation de la Dresse F______ du 16 septembre 2019). Ainsi, malgré un traitement conséquent comprenant la prise quotidienne de plusieurs substances, la recourante a continuellement fait état de douleurs persistantes l’empêchant de reprendre ses activités habituelles. Dans son avis du 12 juin 2019, le Dr H______ a confirmé qu’une reprise dans l’activité professionnelle, avec la même durée de travail qu’antérieurement au sinistre, était possible dès le 1er juillet 2019, au vu de l’activité professionnelle « légère », du délai par rapport à l’intervention et de l’évolution jugée « favorable ». Cependant, l’activité habituelle de la recourante ne saurait en aucun cas être qualifiée de légère. Le médecin d’arrondissement semble avoir mal interprété les termes du rapport de la Dresse F______ du 21 mai 2019, laquelle a noté que l’activité exercée à 50% par sa patiente était « limitée aux activités légères », sans tâches lourdes. Cette indication correspond aux déclarations de la recourante, qui a expliqué à maintes reprises qu’elle n’arrivait plus à accomplir l’intégralité de ses missions depuis sa reprise et qu’elle ne s’adonnait qu’aux travaux légers. Enfin, en dépit de l’évolution « favorable » rapportée de façon continue par le Dr D______, il n’en reste pas moins que ce médecin a également signalé la persistance d’importantes douleurs, « plausibles » dans le contexte du traumatisme et le status post-opératoire, avec un mauvais alignement spino-pelvien résiduel sur une perte de lordose post-traumatique, une subsidence de la cage au niveau du plateau supérieur de L3 (cf. rapport du 15 mars 2018), une discopathie cyphosante de segment L5-S1 (cf. rapport du 10 octobre 2018). On ne saurait donc</w:t>
      </w:r>
    </w:p>
    <w:p>
      <w:r>
        <w:t>A/753/2020 - 23/26 - conclure, sans davantage d’explications, que l’évolution « favorable » permettait la reprise de l’activité habituelle. c. Enfin, l’évaluation du Dr H______ n’est guère plus convaincante concernant la capacité de travail dans une activité exercée à raison de 45 heures par semaine. Le médecin-conseil a en effet estimé que la recourante pouvait exercer une activité adaptée à 100% sans baisse de rendement. Il a retenu, à titre de limitations fonctionnelles, la nécessité de pouvoir travailler à sa guise en position assise ou debout, sans accroupissement, sans travail à genoux et sans montée sur une échelle, sans devoir se pencher en avant et avec un port de charge ponctuel limité à 5kg (cf. avis du 28 août 2019). Ces conclusions sont dépourvues de toute argumentation et le Dr H______ n’a livré aucune explication s’agissant des restrictions engendrées par les troubles persistants dont souffre la recourante. Il est surprenant qu’aucune contre-indication ne soit mentionnée pour les mouvements de flexion, d’extension et de torsion de la colonne vertébrale (cf. prescriptions de physiothérapie du Dr D______ des 27 novembre 2017 et 5 octobre 2018). En outre, la position prolongée a été considérée comme un facteur aggravant par la Dresse G______ (cf. rapport du 17 mai 2018), de sorte qu’il était nécessaire d’apporter des précisions sur l’alternance des positions. Quant au port de charge, le médecin d’arrondissement a estimé qu’il était limité à 5 kg, alors que la Dresse E______ avait retenu 3 kg (cf. rapport du 19 janvier 2018). En l’absence de toute motivation, les limitations fonctionnelles retenues par le médecin d’arrondissement sont donc peu compréhensibles. Enfin, il sied de rappeler que le médecin d’arrondissement n’a pas examiné personnellement la recourante, malgré les demandes de cette dernière, et que sa détermination est exclusivement fondée sur les rapports soumis à son appréciation, en particulier ceux du chirurgien et de la médecin traitant. Or, le premier ne s’est pas prononcé sur la capacité de travail de l’intéressée et la seconde a estimé que seul un taux de 50% pouvait être exigé dans l’activité habituelle, sans précision quant au pourcentage envisageable dans une activité adaptée.</w:t>
      </w:r>
    </w:p>
    <w:p>
      <w:r>
        <w:rPr>
          <w:b/>
        </w:rPr>
        <w:t>E. 11</w:t>
      </w:r>
    </w:p>
    <w:p>
      <w:r>
        <w:t>L’intimée ne pouvait donc pas, sur la base des appréciations du Dr H______, retenir que l’état de santé de la recourante était stabilisé au 31 juillet 2019, et mettre ainsi fin au versement des indemnités journalières et au remboursement des frais de traitement, puis statuer sur le droit à une rente d’invalidité.</w:t>
      </w:r>
    </w:p>
    <w:p>
      <w:r>
        <w:rPr>
          <w:b/>
        </w:rPr>
        <w:t>E. 12</w:t>
      </w:r>
    </w:p>
    <w:p>
      <w:r>
        <w:t>a. S’agissant du rapport de la Dresse I______ du 28 janvier 2020, il ne contient aucune argumentation d’ordre médical à l’appui de ses conclusions selon lesquelles on pouvait s’attendre à une « augmentation jusqu’à la normalisation » de la capacité de travail de la recourante. La médecin a noté que la fracture L2 était guérie et que les implants étaient correctement en place selon les contrôles radiologiques et l’évaluation régulière du Dr D______, ajoutant qu’il n’y avait pas de critères objectifs limitant la capacité de</w:t>
      </w:r>
    </w:p>
    <w:p>
      <w:r>
        <w:t>A/753/2020 - 24/26 - travail de la recourante, comme des déficits neurologiques ou la nécessité de médicaments forts comme des morphiniques. Cette appréciation est insuffisante au vu des troubles objectivés par le Dr D______, lequel a notamment estimé que les douleurs mécaniques persistaient et résultaient du trouble de l’alignement spino- pelvien, compensé par une rétroversion exagérée du pelvis. b. La Dresse I______ a considéré que l’état de santé était stabilisé depuis « longtemps », sans aucune précision ni explication. Elle ne s’est d’ailleurs pas du tout prononcée sur le traitement médicamenteux prescrit par la Dresse F______ dans sa dernière attestation, ni sur les séances de physiothérapie, préconisées tant par la médecin traitant que par le chirurgien. À cet égard, on relèvera d’ailleurs que si le Dr D______ a tout d’abord entendu privilégier les exercices à domicile aux séances de physiothérapie (cf. rapport du 4 décembre 2017), il n’a par la suite cessé de prescrire de la physiothérapie, afin de muscler le dos et les abdominaux, avec des manœuvres de protection de la colonne vertébrale (cf. prescription du 5 octobre 2018 et rapport du 25 janvier 2019), étirer les ischio-jambiers raccourcis (cf. rapport du 25 janvier 2019 et prescription du 26 février 2019). Les pièces produites dans le cadre de la présente procédure ne comportent aucun compte-rendu des séances de physiothérapie, de sorte qu’on ignore tout des éventuels bénéfices de ce traitement. Cela étant, aucun élément ne permet en l’état de considérer qu’il s’agirait d’un traitement destiné uniquement à soulager temporairement des douleurs résultant d’un état de santé stabilisé. c. Enfin, la médecin du Centre de compétence a noté que l’exigibilité décrite par le Dr H______ respectait les limitations « potentielles » qui subsistaient et étaient définies pour une activité professionnelle « peu exigeante ». Son appréciation ne contient pas la moindre justification permettant de conforter celle du médecin d’arrondissement.</w:t>
      </w:r>
    </w:p>
    <w:p>
      <w:r>
        <w:rPr>
          <w:b/>
        </w:rPr>
        <w:t>E. 13</w:t>
      </w:r>
    </w:p>
    <w:p>
      <w:r>
        <w:t>Au vu de ce qui précède, le rapport de la Dresse I______, dépourvu de toute valeur probante, ne permet pas non plus de tirer des conclusions fiables, que ce soit sur la stabilisation de l’état de santé de la recourante, sur sa capacité de travail ou encore sur les limitations fonctionnelles.</w:t>
      </w:r>
    </w:p>
    <w:p>
      <w:r>
        <w:rPr>
          <w:b/>
        </w:rPr>
        <w:t>E. 14</w:t>
      </w:r>
    </w:p>
    <w:p>
      <w:r>
        <w:t>Il y a donc lieu d'annuler la décision litigieuse, sans qu’il soit nécessaire, à ce stade, d’examiner les autres griefs de la recourante.</w:t>
      </w:r>
    </w:p>
    <w:p>
      <w:r>
        <w:rPr>
          <w:b/>
        </w:rPr>
        <w:t>E. 15</w:t>
      </w:r>
    </w:p>
    <w:p>
      <w:r>
        <w:t>En l’absence de tout avis médical probant sur les questions litigieuses de la stabilisation de l’état de santé, des limitations fonctionnelles et de la capacité de travail résiduelle de la recourante, il se justifie de renvoyer la cause à l'intimée afin qu'elle procède à des investigations complémentaires pour établir d'office l'ensemble des faits déterminants et, le cas échéant, administrer les preuves nécessaires, si besoin par une expertise, avant de rendre une nouvelle décision.</w:t>
      </w:r>
    </w:p>
    <w:p>
      <w:r>
        <w:t>A/753/2020 - 25/26 -</w:t>
      </w:r>
    </w:p>
    <w:p>
      <w:r>
        <w:rPr>
          <w:b/>
        </w:rPr>
        <w:t>E. 16</w:t>
      </w:r>
    </w:p>
    <w:p>
      <w:r>
        <w:t>Par conséquent, le recours sera admis, la décision du 29 janvier 2020 annulée, et la cause renvoyée à l'intimée pour instruction complémentaire et nouvelle décision. La recourante, représentée par un mandataire professionnel,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A/753/2020 - 26/26 -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