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ATAS/179/2017 vom 7. März 2017</w:t>
      </w:r>
    </w:p>
    <w:p>
      <w:r>
        <w:t>GE Cour de justice, 2017-03-07, FR</w:t>
      </w:r>
    </w:p>
    <w:p>
      <w:r>
        <w:rPr>
          <w:b/>
        </w:rPr>
        <w:t xml:space="preserve">Quelle: </w:t>
      </w:r>
      <w:r>
        <w:t>https://mcp.opencaselaw.ch/entscheid/ge_gerichte_ATAS_179_2017</w:t>
      </w:r>
    </w:p>
    <w:p>
      <w:r>
        <w:t>FR: GE_GERICHTE ATAS/179/2017 du 7 mars 2017</w:t>
      </w:r>
    </w:p>
    <w:p>
      <w:r>
        <w:t>IT: GE_GERICHTE ATAS/179/2017 del 7 marzo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force le 1er janvier 2003, est applicable à la présente procédure.</w:t>
      </w:r>
    </w:p>
    <w:p>
      <w:r>
        <w:rPr>
          <w:b/>
        </w:rPr>
        <w:t>E. 3</w:t>
      </w:r>
    </w:p>
    <w:p>
      <w:r>
        <w:t>Le recours a été formé, compte tenu des féries du 7ème jour avant Pâques au 7ème jour après Pâques inclusivement, dans le délai et selon la forme prescrits (art. 38 al. 4 let. a, art. 60 et ss LPGA). Le recours est par conséquent recevable.</w:t>
      </w:r>
    </w:p>
    <w:p>
      <w:r>
        <w:rPr>
          <w:b/>
        </w:rPr>
        <w:t>E. 4</w:t>
      </w:r>
    </w:p>
    <w:p>
      <w:r>
        <w:t>Le litige porte sur la question de savoir si le recourant a droit à des prestations d'invalidité, étant précisé que par décision du 13 janvier 2009, entrée en force, ce droit lui a été nié.</w:t>
      </w:r>
    </w:p>
    <w:p>
      <w:r>
        <w:rPr>
          <w:b/>
        </w:rPr>
        <w:t>E. 5</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w:t>
      </w:r>
    </w:p>
    <w:p>
      <w:r>
        <w:t>A/1352/2016 - 11/18 - interruption notable (let. b); au terme de cette année, il est invalide (art. 8 LPGA) à 40 % au moins (let. c).</w:t>
      </w:r>
    </w:p>
    <w:p>
      <w:r>
        <w:rPr>
          <w:b/>
        </w:rPr>
        <w:t>E. 6</w:t>
      </w:r>
    </w:p>
    <w:p>
      <w:r>
        <w:t>La plupart des éventualités assurées (par exemple la maladie, l'accident, l'incapacité de travail, l'invalidité, l'atteinte à l'intégrité physique ou mentale) supposent l'instruction de faits d'ordre médical.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w:t>
      </w:r>
    </w:p>
    <w:p>
      <w:r>
        <w:rPr>
          <w:b/>
        </w:rPr>
        <w:t>E. 7</w:t>
      </w:r>
    </w:p>
    <w:p>
      <w:r>
        <w:t>Quand l'administration entre en matière sur une nouvelle demande [art. 87 al. 3 du règlement du 17 janvier 1961 sur l’assurance-invalidité du 17 janvier 1961 (RAI ; RS 831.201)], elle doit examiner la cause sur le fond et déterminer si la</w:t>
      </w:r>
    </w:p>
    <w:p>
      <w:r>
        <w:t>A/1352/2016 - 12/18 -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130 V 71)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Aussi n’existe-t-il pas, en droit des assurances sociales, un principe selon lequel l’administration ou le juge devrait statuer, dans le doute, en faveur de l’assuré (ATF 126 V 319 consid. 5a).</w:t>
      </w:r>
    </w:p>
    <w:p>
      <w:r>
        <w:rPr>
          <w:b/>
        </w:rPr>
        <w:t>E. 9</w:t>
      </w:r>
    </w:p>
    <w:p>
      <w:r>
        <w:t>En l'occurrence, il n'est pas contesté par l'intimé, ni contestable au vu des pièces versées au dossier, que l'état de santé du recourant s'est modifié depuis la décision initiale du 13 janvier 2009, entrée en force. Ainsi, alors que le recourant souffrait d’un diabète de type II, les experts mandatés par l’intimé, soit les Drs I_______, J_______ et K_______, ont diagnostiqué dans leur rapport du 20 octobre 2015, avec répercussion sur la capacité de travail du recourant, une atteinte sensitivomotrice du nerf radial droit post-intervention avec bloc axillaire (décembre 2009), et, sans répercussion sur sa capacité de travail, un trouble dysthymique, une polyneuropathie sensitive axonale des membres inférieurs, un tremblement essentiel, un syndrome métabolique dès 1996 avec diabète de type II insulino-requérant depuis 2007, une hypertension artérielle traitée et une dyslipidémie traitée. Ils ont estimé que le recourant était limité dans le travail en force impliquant la pronosupination, l'extension ou la flexion soutenues du bras droit. Il était également limité dans les mouvements fins de la main et des doigts à droite. L'incapacité médicalement justifiée existait depuis le 1er décembre 2009. Force est de constater que ce rapport remplit toutes les exigences auxquelles la jurisprudence soumet la valeur probante d'un tel document : il contient un résumé du dossier, une anamnèse détaillée, les indications subjectives du recourant, des</w:t>
      </w:r>
    </w:p>
    <w:p>
      <w:r>
        <w:t>A/1352/2016 - 13/18 - observations cliniques, ainsi qu’une discussion générale du cas, et leurs conclusions, qui résultent d'une analyse complète de la situation médicale, sont claires, bien motivées et convaincantes. Au demeurant, le recourant ne conteste pas les conclusions des experts.</w:t>
      </w:r>
    </w:p>
    <w:p>
      <w:r>
        <w:rPr>
          <w:b/>
        </w:rPr>
        <w:t>E. 10</w:t>
      </w:r>
    </w:p>
    <w:p>
      <w:r>
        <w:t>Reste à déterminer le degré d'invalidité que présente le recourant.</w:t>
      </w:r>
    </w:p>
    <w:p>
      <w:r>
        <w:rPr>
          <w:b/>
        </w:rPr>
        <w:t>E. 11</w:t>
      </w:r>
    </w:p>
    <w:p>
      <w:r>
        <w:t>a. Pour évaluer le degré d'invalidité, il existe principalement trois méthodes : la méthode générale de comparaison des revenus, la méthode spécifique et la méthode mixte. Leur application dépend du statut du bénéficiaire potentiel de la rente: assuré exerçant une activité lucrative à temps complet, assuré non actif, assuré exerçant une activité lucrative à temps partiel (arrêt du Tribunal fédéral 9C_514/2014 du 23 décembre 2014 consid. 4). Tant lors de l'examen initial du droit à la rente qu'à l'occasion d'une révision de celle-ci (art. 17 LPGA), il faut examiner sous l'angle des art. 4 et 5 LAI quelle méthode d'évaluation de l'invalidité il convient d'appliquer (art. 28a LAI, en corrélation avec les art. 27 ss RAI). On décidera que l'assuré appartient à l'une ou l'autre des trois catégories précitées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137 V 334 consid. 3.2; 125 V 146 consid. 2c ainsi que les références). b. En l'occurrence, l'intimé, qui avait retenu le statut de non actif dans sa décision litigieuse, soutient dans le cadre de la présente procédure que la méthode spécifique n'est pas applicable au recourant dans la mesure où, en l'absence d'atteinte à la santé, ce dernier n'aurait pas consacré son temps à l'accomplissement de travaux</w:t>
      </w:r>
    </w:p>
    <w:p>
      <w:r>
        <w:t>A/1352/2016 - 14/18 - habituels mais à ses loisirs, lesquels ne sont pas à prendre en compte par l'assurance-invalidité. Partant, le recourant n'aurait pas droit à une rente d'invalidité. Le recourant fait valoir, quant à lui, que le statut de non actif lui est applicable. À l’appui de sa position, l’intimé se réfère à un arrêt récent du Tribunal fédéral, dans lequel ce dernier a précisé sa jurisprudence concernant la méthode de comparaison des revenus applicable aux personnes exerçant une activité lucrative à temps partiel sans consacrer leur temps libre à la réalisation de travaux habituels, en ce sens que la limitation dans le domaine lucratif doit être prise en considération de façon proportionnelle, en fonction de l'étendue de l'hypothétique taux d'activité lucrative à temps partiel (ATF 142 V 290 consid. 7). La chambre de céans est toutefois d'avis que la question de savoir si, sans atteinte à la santé, le recourant se serait consacré à ses loisirs, de sorte qu'il ne subit pas une perte de la capacité à vaquer à ses travaux habituels, peut en l'occurrence rester ouverte, puisque même si l’on retient le statut de non actif, le droit à une rente d'invalidité doit lui être nié.</w:t>
      </w:r>
    </w:p>
    <w:p>
      <w:r>
        <w:rPr>
          <w:b/>
        </w:rPr>
        <w:t>E. 12</w:t>
      </w:r>
    </w:p>
    <w:p>
      <w:r>
        <w:t>a.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L’art. 27 du règlement sur l'assurance- invalidité (RAI - RS 831.201) dispose que par travaux habituels, il faut notamment entendre l'activité usuelle dans le ménage, l'éducation des enfants ainsi que toute activité artistique ou d'utilité publique (ATF 137 V 334 consid. 3.1.2).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w:t>
      </w:r>
    </w:p>
    <w:p>
      <w:r>
        <w:t>A/1352/2016 - 15/18 - que l’on peut clairement constater ou des indices laissant apparaître une inexactitude dans les résultats de l’enquête (ATF 129 V 67 consid. 2.3.2 non publié au Recueil officiel mais dans VSI 2003 p. 221; arrêt du Tribunal fédéral des assurances I.733/06 du 16 juillet 2007).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Lorsqu’il s'agit d'évaluer la capacité d'un assuré à accomplir des tâches ménagères, un empêchement ne peut être pris en compte que si ledit assuré ne parvient plus à exécuter la tâche en question et si cette tâche doit être confiée à des tiers rétribués ou à des proches qui enregistrent de ce fait une perte de gain ou pour lesquels cela représente une charge disproportionnée (arrêt du Tribunal fédéral des assurances I.518/2004 du 25 novembre 2005 consid. 4).</w:t>
      </w:r>
    </w:p>
    <w:p>
      <w:r>
        <w:rPr>
          <w:b/>
        </w:rPr>
        <w:t>E. 13</w:t>
      </w:r>
    </w:p>
    <w:p>
      <w:r>
        <w:t>En l’espèce, dans son rapport d’enquête économique sur le ménage du 28 avril 2015, l’enquêtrice a estimé l'empêchement dans les activités ménagères à 0% pour la conduite du ménage, 15% pour l’alimentation, 40% pour l’entretien du logement, 0% pour les emplettes et courses diverses, 15% pour la lessive et l’entretien des vêtements ainsi que 50% pour le poste "divers". Le recourant conteste les empêchements retenus pour l'alimentation, l'entretien du logement, la lessive et l'entretien des vêtements, ainsi que le poste "divers". La chambre de céans relèvera déjà que le rapport établi le 28 avril 2015 par l’enquêtrice de l’intimé correspond aux exigences formelles exposées ci-dessus. Pour chaque poste, l'enquêtrice a signalé, sur la base des déclarations du recourant, quelles difficultés celui-ci rencontrait dans l'accomplissement des tâches ménagères en raison de ses limitations. En particulier, s'agissant du poste alimentation, le recourant fait valoir un empêchement de 60%, en se référant aux observations de son amie, selon laquelle il ne pourrait plus éplucher de légumes et ne cuisinerait que très peu. Or, selon les explications que le recourant a lui-même données, il a indiqué qu'il avait uniquement de la peine à récurer le sol et à frotter fort les placards et le plan de travail. Il a expliqué que malgré son atteinte à la santé, il était en mesure d'éplucher et de couper les légumes, mais beaucoup plus lentement qu'avant et qu'il utilisait plus sa main gauche; qu'il mangeait simplement, en déjeunant le matin et en faisant un repas le soir; qu'il utilisait le lave-vaisselle et mettait les casseroles dedans. Au demeurant, on relèvera que l'empêchement de 15% retenu par l'enquêtrice est déjà supérieur à celui estimé par les experts (10%), lesquels ont confirmé que la</w:t>
      </w:r>
    </w:p>
    <w:p>
      <w:r>
        <w:t>A/1352/2016 - 16/18 - préparation, la cuisson des aliments, le nettoyage de la cuisine, les provisions pouvaient être réalisées sans empêchement. S'agissant de l'entretien du logement, on ne saurait suivre le recourant en retenant un empêchement de 50%, puisqu'il résulte de ses déclarations à l'enquêtrice qu'il est en mesure d'accomplir l'ensemble des tâches, hormis récurer, laver les vitres et faire le grand nettoyage. Cela a été en outre confirmé par ses explications aux experts, puisqu'il a déclaré être capable de remplir l'ensemble des tâches, mais avec une diminution de rendement et qu'il avait des difficultés pour porter des objets de plus de 10 kg, notamment dans le travail en hauteur, plus ou moins bien compensé avec le bras gauche. La chambre de céans relèvera encore que le Tribunal fédéral a souligné dans des arrêts concernant des assurés n’exerçant plus d’activité lucrative qu’ils disposaient de plus de temps pour aménager leurs tâches ménagères avec les pauses nécessaires (arrêts du Tribunal fédéral des assurances I.583/02 du 2 mai 2003 consid. 4.1 et I.511/00 du 22 février 2001 consid. 3d). Tel est également le cas ici. S'agissant de la lessive et de l'entretien des vêtements, le seul fait que le recourant ait de la peine à suspendre le linge sur les barres en hauteur, comme il l'a expliqué à l'enquêtrice, ou qu'il ne puisse essorer le linge, selon Mme G_______, ne permet pas de retenir un empêchement de 50%. Au demeurant, on peut exiger du recourant qu'il utilise un étendage plus bas pour y suspendre son linge. Par ailleurs, si Mme G_______ a certes expliqué que le recourant ne repassait plus, rien ne permet toutefois de retenir que ce dernier subirait un empêchement dans cette activité, puisqu'il a expliqué aux experts que s'il ne repassait pas, c'était par commodité (rapport d'expertise, p. 20). Enfin, s'agissant du poste "divers", un empêchement supérieur à 50% ne saurait être retenu puisque s'il apparaît certes que le recourant peut être gêné dans certaines activités, telles que la menuiserie et la taille des arbres, il n'a toutefois pas renoncé totalement aux travaux de restauration et est encore en mesure de tondre le gazon, de s’occuper de l’entretien des plantes de son jardin (rapport d'expertise, pp. 10, 17 et 20), ainsi que de sa mère. Par ailleurs, si, selon les observations de Mme G_______, le recourant se laisse aller notamment, on ne saurait toutefois retenir un empêchement en raison d'un trouble psychique étant donné que les experts n'ont constaté aucune limitation due à la dysthymie, précisant que si les personnes atteintes de ce trouble se sentent fatiguées et que tout leur coûte, elles sont toutefois capables de faire face aux exigences de la vie quotidienne (rapport d'expertise, p. 23). On ajoutera encore que l’intimé n’a pas pris en compte l’aide de l'amie du recourant, au motif qu'il n'était pas clair s'il vivait régulièrement avec elle. Or, comme le révèle la consultation du registre de l’OCP, Mme G_______ était domiciliée du 1er janvier 2009 au 30 juin 2014 au chemin F_______ ______ à Confignon, soit dans le logement que le recourant dit occuper depuis janvier 2009.</w:t>
      </w:r>
    </w:p>
    <w:p>
      <w:r>
        <w:t>A/1352/2016 - 17/18 - On peut dès lors émettre un doute quant à l'absence d'exigibilité de la part de l'amie du recourant, à tout le moins pendant la période du 1er janvier 2009 au 30 juin 2014. Le recourant fait encore valoir que le poste "divers" aurait dû être pondéré à 50%, au lieu des 45% retenus par l'enquêtrice. La Circulaire sur l’invalidité et l’impotence dans l’assurance-invalidité valable depuis le 1er janvier 2015 (CIIAI), éditée par l’Office fédéral des assurances, prévoit des pourcentages minimaux et maximaux pour chaque activité (ch. 3086ss). Pour le poste "divers" - qui comprend par exemple, les soins infirmiers, l'entretien des plantes et du jardin, la garde des animaux domestiques, la confection et transformation des vêtements, les activités d'utilité publique, la formation complémentaire et la création artistique, à l'exclusion des occupations purement de loisirs - le pourcentage est entre 0% et 50%. La part en pourcent accordée à chacun des postes relève du pouvoir d'appréciation, qui dépend d'une évaluation des circonstances concrètes de la situation en cause (arrêt du Tribunal fédéral 9C_19/2012 du 4 octobre 2012 consid. 5.1) En l'occurrence, la pondération émane d’une collaboratrice spécialisée de l’intimé ayant connaissance tant de la situation locale et spatiale - puisqu’elle s’est déplacée au domicile du recourant - que des atteintes à la santé présentées par le recourant. En outre, dans son évaluation, elle a tenu compte des indications fournies par le recourant. Par ailleurs, la question de savoir si c'est à juste titre que l'activité de menuiserie figure dans le poste "divers", ou si cette activité aurait dû être considérée comme une occupation purement de loisirs, pourrait se poser. Quoi qu’il en soit, même si l’on suivait le recourant en retenant une pondération maximale de 50% pour le poste "divers" et de 21% pour l'alimentation, comme il l'invoque, il en résulterait un empêchement pondéré de 25% - compte tenu de l'empêchement de 50% estimé par l'intimé - et un degré total d'invalidité de 34.9%, soit insuffisant pour ouvrir droit à une rente. Compte tenu de ce qui précède, faute d’erreurs d’estimation évidentes ou d’indices laissant apparaître une inexactitude dans les résultats de l’enquête, la chambre de céans n'a aucune raison de s'écarter de l'appréciation de l'enquêtrice. Au demeurant, les experts ont admis que le recourant ne présentait pas d'empêchement majeur à accomplir ses activités habituelles. Par conséquent, les griefs du recourant doivent être rejetés et le degré d’invalidité de 32.40%, retenu par l'intimé, doit être confirmé.</w:t>
      </w:r>
    </w:p>
    <w:p>
      <w:r>
        <w:rPr>
          <w:b/>
        </w:rPr>
        <w:t>E. 14</w:t>
      </w:r>
    </w:p>
    <w:p>
      <w:r>
        <w:t>Partant, c’est à juste titre que l’intimé a rejeté la nouvelle demande de prestations formulée par le recourant.</w:t>
      </w:r>
    </w:p>
    <w:p>
      <w:r>
        <w:rPr>
          <w:b/>
        </w:rPr>
        <w:t>E. 15</w:t>
      </w:r>
    </w:p>
    <w:p>
      <w:r>
        <w:t>Au vu de ce qui précède, le recours sera rejeté.</w:t>
      </w:r>
    </w:p>
    <w:p>
      <w:r>
        <w:rPr>
          <w:b/>
        </w:rPr>
        <w:t>E. 16</w:t>
      </w:r>
    </w:p>
    <w:p>
      <w:r>
        <w:t>Étant donné que, depuis le 1er juillet 2006, la procédure n'est plus gratuite (art. 69 al. 1bis LAI), au vu du sort du recours, il y a lieu de condamner le recourant au paiement d'un émolument de CHF 200.-.</w:t>
      </w:r>
    </w:p>
    <w:p>
      <w:r>
        <w:t>A/1352/2016 - 18/18 -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