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ATAS/178/2014 vom 12. Februar 2014</w:t>
      </w:r>
    </w:p>
    <w:p>
      <w:r>
        <w:t>GE Cour de justice, 2014-02-12, FR</w:t>
      </w:r>
    </w:p>
    <w:p>
      <w:r>
        <w:rPr>
          <w:b/>
        </w:rPr>
        <w:t xml:space="preserve">Quelle: </w:t>
      </w:r>
      <w:r>
        <w:t>https://mcp.opencaselaw.ch/entscheid/ge_gerichte_ATAS_178_2014</w:t>
      </w:r>
    </w:p>
    <w:p>
      <w:r>
        <w:t>FR: GE_GERICHTE ATAS/178/2014 du 12 février 2014</w:t>
      </w:r>
    </w:p>
    <w:p>
      <w:r>
        <w:t>IT: GE_GERICHTE ATAS/178/2014 del 12 febbraio 2014</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w:t>
      </w:r>
    </w:p>
    <w:p>
      <w:r>
        <w:t>A/2901/2013 3/4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21 mai 2008, d’autre part le 28 août 2013, date à laquelle le jugement de divorce est devenu exécutoire.</w:t>
      </w:r>
    </w:p>
    <w:p>
      <w:r>
        <w:rPr>
          <w:b/>
        </w:rPr>
        <w:t>E. 4</w:t>
      </w:r>
    </w:p>
    <w:p>
      <w:r>
        <w:t>Selon les renseignements recueillis, la prestation acquise pendant le mariage par le demandeur est de 36'364 fr. (52'422 fr. 60 - 16'058 fr. 60), les intérêts ayant déjà été calculés par les institutions de prévoyance défenderesses. Quant à la demanderesse, elle n’est au bénéfice d’aucun avoir de vieillesse accumulé pendant le mariage. Ainsi le demandeur doit à son ex-épouse le montant de 18'182 fr. (36'364 fr.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 ***</w:t>
      </w:r>
    </w:p>
    <w:p>
      <w:r>
        <w:t>A/2901/2013 4/4</w:t>
      </w:r>
    </w:p>
    <w:p>
      <w:r>
        <w:t>PAR CES MOTIFS, LA CHAMBRE DES ASSURANCES SOCIALES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