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ATAS/177/2020 vom 4. März 2020</w:t>
      </w:r>
    </w:p>
    <w:p>
      <w:r>
        <w:t>GE Cour de justice, 2020-03-04, FR</w:t>
      </w:r>
    </w:p>
    <w:p>
      <w:r>
        <w:rPr>
          <w:b/>
        </w:rPr>
        <w:t xml:space="preserve">Quelle: </w:t>
      </w:r>
      <w:r>
        <w:t>https://mcp.opencaselaw.ch/entscheid/ge_gerichte_ATAS_177_2020</w:t>
      </w:r>
    </w:p>
    <w:p>
      <w:r>
        <w:t>FR: GE_GERICHTE ATAS/177/2020 du 4 mars 2020</w:t>
      </w:r>
    </w:p>
    <w:p>
      <w:r>
        <w:t>IT: GE_GERICHTE ATAS/177/2020 del 4 marzo 2020</w:t>
      </w:r>
    </w:p>
    <w:p>
      <w:pPr>
        <w:pStyle w:val="Heading2"/>
      </w:pPr>
      <w:r>
        <w:t>Erwägungen</w:t>
      </w:r>
    </w:p>
    <w:p>
      <w:r>
        <w:rPr>
          <w:b/>
        </w:rPr>
        <w:t>E. 8</w:t>
      </w:r>
    </w:p>
    <w:p>
      <w:r>
        <w:t>Le recours s’avère ainsi sans objet et il convient de le transmettre à la caisse pour que celle-ci prenne une décision sur le droit de l’assurée aux PFM et transmette ensuite la cause au service des PCM de l’OCE, pour décision sur son droit aux PCM. Cette dernière décision pourra, cas échéant, faire l’objet d’une opposition et la décision sur opposition d’un recours auprès de la chambre de céans (art. 49 al. 3 LMC).</w:t>
      </w:r>
    </w:p>
    <w:p>
      <w:r>
        <w:rPr>
          <w:b/>
        </w:rPr>
        <w:t>E. 9</w:t>
      </w:r>
    </w:p>
    <w:p>
      <w:r>
        <w:t>La procédure est gratuite (art. 61 let. a LPGA).</w:t>
      </w:r>
    </w:p>
    <w:p>
      <w:r>
        <w:t>A/3410/2019 - 8/8 -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