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ATAS/177/2009 vom 18. Februar 2009</w:t>
      </w:r>
    </w:p>
    <w:p>
      <w:r>
        <w:t>GE Cour de justice, 2009-02-18, FR</w:t>
      </w:r>
    </w:p>
    <w:p>
      <w:r>
        <w:rPr>
          <w:b/>
        </w:rPr>
        <w:t xml:space="preserve">Quelle: </w:t>
      </w:r>
      <w:r>
        <w:t>https://mcp.opencaselaw.ch/entscheid/ge_gerichte_ATAS_177_2009</w:t>
      </w:r>
    </w:p>
    <w:p>
      <w:r>
        <w:t>FR: GE_GERICHTE ATAS/177/2009 du 18 février 2009</w:t>
      </w:r>
    </w:p>
    <w:p>
      <w:r>
        <w:t>IT: GE_GERICHTE ATAS/177/2009 del 18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décision litigieuse, du 27 août 2008, est postérieure à l'entrée en vigueur de la LPGA le 1er janvier 2003, ainsi qu'à l'entrée en vigueur, le 1er janvier 2004, des modifications de la loi fédérale sur l'assurance-invalidité du 21 mars 2003 (4ème révision). De plus, la demande de prestations a été déposée le 29 mars 2006 et se réfère à une incapacité de travail significative ayant débuté selon le médecin traitant en janvier 2005,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w:t>
      </w:r>
    </w:p>
    <w:p>
      <w:r>
        <w:t>A/3500/2008 - 8/11 - l’origine du moyen de preuve, ni sa désignation, sous la forme d’un rapport ou d’une expertise, mais bel et bien son contenu (ATF 122 V 160 consid. 1c.). d)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consid. 3.2).</w:t>
      </w:r>
    </w:p>
    <w:p>
      <w:r>
        <w:rPr>
          <w:b/>
        </w:rPr>
        <w:t>E. 5</w:t>
      </w:r>
    </w:p>
    <w:p>
      <w:r>
        <w:t>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D'après l'art. 43 al. 1 LPGA, l'assureur examine les demandes, prend d'office les mesures d'instruction nécessaires et recueille les renseignements dont il a besoin (principe inquisitoire; voir ATF 125 V 195 consid. 2 et les références).</w:t>
      </w:r>
    </w:p>
    <w:p>
      <w:r>
        <w:t>A/3500/2008 - 9/11 -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 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6</w:t>
      </w:r>
    </w:p>
    <w:p>
      <w:r>
        <w:t>a) En l’espèce, selon le dossier médical, le recourant souffre de troubles au genou gauche, qui a été opéré à deux reprises - double méniscectomie interne gauche et ostéotomie tibiale -, la dernière fois en 2005. Il présente également de cervicalgies, investigués depuis 1994 (cf. rapport de la clinique de neurologie des HUG du 5 mai 1994 ; IRM du 13 juillet 2004, IRM du 17 mars 2006, IRM de mai 2008), ainsi que de troubles aux mains et aux membres supérieurs opérés à plusieurs reprises (cf. notamment : enclavement du nerf cubital [rapport opératoire du 14 décembre 1987], cure chirurgicale du canal carpien le 20 novembre 1987, cure chirurgicale avec plastie du ligament annulaire le 11 février 1988, neurolyse des nerfs du pouce gauche le 1er octobre 1999, opération de deux doigts en février 2008 selon les allégations du recourant). Le Dr L_________, de l’Unité d’orthopédie des HUG, a retenu que le recourant était en incapacité de travail entière depuis le 18 janvier 2005 en relation avec les problèmes au genou gauche. L’activité exercée jusque là, de peintre en bâtiment, n’était selon lui plus exigible qu’à 50% ; en revanche, dans une activité adaptée à ses limitations fonctionnelles (travail sédentaire sans port de charges, éviter les échafaudages et le terrain irrégulier) son patient présentait une capacité de travail entière (cf. rapport du Dr L_________ du 14 avril 2006). Quant à la Dresse N________, généraliste, elle a attesté en mai 2005, à l’égard de l’assureur perte de gain pour maladie, une incapacité de travail entière pour les affections cervicales du 1er octobre 2004 au 19 avril 2005. Du point de vue psychiatrique, une expertise mise en œuvre à la demande de l’assureur-maladie en</w:t>
      </w:r>
    </w:p>
    <w:p>
      <w:r>
        <w:t>A/3500/2008 - 10/11 - septembre 2004 a exclu la présence d’une quelconque affection psychique ayant une influence sur la capacité de travail. b) Dans son avis du 27 février 2007, le Dr P_______, chirurgien orthopédique au SMR, a fait siennes les conclusions du Dr L_________ et considéré que le recourant présentait une capacité de travail de 50% dans l’ancienne activité de peintre en bâtiment, mais entière dans une activité adaptée, à savoir un travail sédentaire ou semi-sédentaire, évitant le port de charges supérieures à 15 kg, les marches sur terrain irrégulier, de monter et descendre les escaliers, les échelles et les échafaudages (cf. limitations fonctionnelles retenues par le Dr L_________ dans le rapport du 14 avril 2006). c) Le Tribunal de céans observe que le SMR, qui n’a pas examiné l’assuré, a évalué la capacité résiduelle de travail du recourant en se fondant sur l’appréciation du chirurgien ayant opéré le genou, sans tenir aucun compte des autres troubles de santé présentés, en particulier à la colonne cervicale et aux mains, dont la réalité était pourtant amplement documentée par le dossier médical. De manière générale, l’instruction médicale du dossier paraît lacunaire : en effet, le seul médecin interpellé par l’intimé a été le Dr L_________, qui comme on vient de l’exposer n’a opéré que le genou, et ce alors même que le nombre de médecins ayant examiné et soigné le recourant est relativement important compte tenu des données anamnestiques. Quant au Dr P_______, du SMR, il s’est borné à énumérer les différentes pathologies ressortant du dossier médical sans toutefois en tirer aucune conclusion s’agissant de la capacité de travail - exception faite de la pathologie au genou -, et, surtout, sans ordonner aucune mesure d’instruction à cet égard. Or, il appartenait à l’intimé d’élucider le caractère invalidant des autres troubles de santé, ce d’autant plus que tant les cervicobrachialgies que les affections aux mains sont susceptibles d’avoir une influence sur la capacité de travail même dans une activité sédentaire. e) Dans ces conditions, il convient de renvoyer le dossier à l’intimé pour la mise en œuvre d’une expertise médicale par un expert indépendant et nouvelle décision.</w:t>
      </w:r>
    </w:p>
    <w:p>
      <w:r>
        <w:rPr>
          <w:b/>
        </w:rPr>
        <w:t>E. 7</w:t>
      </w:r>
    </w:p>
    <w:p>
      <w:r>
        <w:t>Au vu de ce qui précède, le recours sera admis et la décision du 27 août 2008 annulée au sens des considérants. Le recourant obtenant gain de cause, une indemnité de 1'500 fr. lui est octroyée à titre de dépens. L'intimé qui succombe sera condamné à un émolument de 200 fr.</w:t>
      </w:r>
    </w:p>
    <w:p>
      <w:r>
        <w:t>A/3500/2008 - 11/11 -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