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ATAS/176/2020 vom 4. März 2020</w:t>
      </w:r>
    </w:p>
    <w:p>
      <w:r>
        <w:t>GE Cour de justice, 2020-03-04, FR</w:t>
      </w:r>
    </w:p>
    <w:p>
      <w:r>
        <w:rPr>
          <w:b/>
        </w:rPr>
        <w:t xml:space="preserve">Quelle: </w:t>
      </w:r>
      <w:r>
        <w:t>https://mcp.opencaselaw.ch/entscheid/ge_gerichte_ATAS_176_2020</w:t>
      </w:r>
    </w:p>
    <w:p>
      <w:r>
        <w:t>FR: GE_GERICHTE ATAS/176/2020 du 4 mars 2020</w:t>
      </w:r>
    </w:p>
    <w:p>
      <w:r>
        <w:t>IT: GE_GERICHTE ATAS/176/2020 del 4 marzo 2020</w:t>
      </w:r>
    </w:p>
    <w:p>
      <w:pPr>
        <w:pStyle w:val="Heading2"/>
      </w:pPr>
      <w:r>
        <w:t>Erwägungen</w:t>
      </w:r>
    </w:p>
    <w:p>
      <w:r>
        <w:rPr>
          <w:b/>
        </w:rPr>
        <w:t>E. 38</w:t>
      </w:r>
    </w:p>
    <w:p>
      <w:r>
        <w:t>Par décision du 19 mars 2019, l’OAI a informé l’assuré que, sous réserve des indemnités journalières versées pendant les mesures professionnelles du 1er octobre 2010 (début du droit théorique à une rente vu la demande tardive) au 30 avril 2011, le droit à une rente entière d’invalidité lui était reconnu. Du 1er mai 2011 au 31 juillet 2016, il avait droit à un quart de rente (art. 88a RAI). Dès le 1er août 2016, il avait droit à une rente entière d’invalidité (art. 88a RAI). Des mesures professionnelles n’étaient pas indiquées, car elles ne seraient ni simples ni adéquates et ne respecteraient pas le principe d’équivalence. De telles mesures n’entraîneraient que très difficilement une diminution du dommage, à savoir une diminution de la perte de gain. Depuis le 18 septembre 2009, début du délai d’attente d’un an, sa capacité de travail était considérablement restreinte. Il avait le statut d’actif. D’après les éléments médicaux et professionnels recueillis et compte tenu des limitations fonctionnelles retenues, l’OAI estimait, sur la base des avis du SMR, que son atteinte à la santé avait entraîné une incapacité de travail à 100% dans toute activité depuis le 18 septembre 2009. Dans une activité adaptée respectant ses limitations fonctionnelles, sa capacité de travail médico-théorique raisonnablement exigible était de 100% avec une baisse de rendement de 20%</w:t>
      </w:r>
    </w:p>
    <w:p>
      <w:r>
        <w:t>A/1690/2019 - 9/24 - depuis janvier 2011. Dès le mois de mai 2016 au plus tard, sa capacité de travail avait été à nouveau nulle dans toute activité. Sa conviction de ne plus pouvoir travailler avait empêché l’OAI d’évaluer toute autre mesure dans le cadre de sa demande de prestations. L’assuré avait bénéficié de mesures d’ordre professionnel sous la forme d’une orientation professionnelle du 9 avril au 8 juillet 2012, avec le versement d’indemnités journalières. La première partie de la mesure terminée, un stage en entreprise avait été mis en place. L’OAI avait mis un terme à la mesure, suite à la remise d’un certificat d’arrêt de travail. Une orientation professionnelle avait été mise en place du 29 août au 18 novembre 2016. La comparaison des gains pour la période de janvier 2011 à mai 2016 (revenu sans invalidité de CHF 81'848.- moins revenu avec invalidité de CHF 49'387.-) aboutissait à un taux d’invalidité de 39,66% arrondi à 40%, ce qui ouvrait à l’assuré le droit à un quart de rente d’invalidité. La demande de prestations ayant été déposée le 28 avril 2010, la rente ne pouvait être versée qu’à compter du 1er octobre 2010, en application de l’art. 29 al. 1 LAI (demande tardive). Dans son opposition au projet de décision du 14 décembre 2018, l’assuré n’avait pas fait état de faits nouveaux importants ou de nouvelles pièces médicales probantes permettant à l’OAI de modifier son appréciation.</w:t>
      </w:r>
    </w:p>
    <w:p>
      <w:r>
        <w:rPr>
          <w:b/>
        </w:rPr>
        <w:t>E. 39</w:t>
      </w:r>
    </w:p>
    <w:p>
      <w:r>
        <w:t>Le 3 mai 2019, l’assuré a formé recours contre la décision précitée auprès de la chambre des assurances sociales de la Cour de justice, concluant à l’octroi d’une rente entière d’invalidité du 1er mai 2011 au 31 juillet 2016. Son taux d’invalidité avait été de 100% de janvier 2011 à mai 2016. Sur la base du rapport du Dr D______ du 11 octobre 2012, il fallait retenir que sa capacité de travail était de 50% au maximum. En mai 2012, ce médecin estimait que l’assuré présentait une diminution de performance de 30 à 60% même dans une activité adaptée. Par ailleurs, l’OAI aurait dû retenir un abattement de 25% pour tenir compte de l’importance des limitations fonctionnelles, selon le rapport d’expertise du Dr E______ du 2 octobre 2011. Par ailleurs, le Dr F______ avait considéré qu’une diminution de rendement de 20% devait être retenue. Au vu du nombre et de l’importance des limitations fonctionnelles et de son âge, de son faible niveau de formation et de ses capacités linguistiques déficientes, une réduction supplémentaire de minimum 25% devait être appliquée. Par conséquent, en tenant compte du fait que sa capacité de travail était au maximum de 50% dans une activité adaptée, le revenu avec invalidité à retenir s’élevait au maximum à CHF 21’239.25. Il convenait de prendre en compte le revenu avec invalidité d’un montant de CHF 56'638.- et de le diviser par moitié en raison de la capacité de travail de maximum 50%, ce qui correspondait à CHF 28’319.-. En appliquant une réduction supplémentaire de 25%, le revenu avec invalidité à prendre en considération s’élevait à CHF 21’239.25. Le taux d’invalidité s’élevait ainsi à 74%, ce qui lui ouvrait le droit à une rente entière d’invalidité.</w:t>
      </w:r>
    </w:p>
    <w:p>
      <w:r>
        <w:rPr>
          <w:b/>
        </w:rPr>
        <w:t>E. 40</w:t>
      </w:r>
    </w:p>
    <w:p>
      <w:r>
        <w:t>Par réponse du 3 juin 2019, l’OAI a conclu au rejet du recours. L’argumentation du recourant consistait essentiellement à souligner la divergence d’opinion entre les</w:t>
      </w:r>
    </w:p>
    <w:p>
      <w:r>
        <w:t>A/1690/2019 - 10/24 - experts et ses médecins traitants quant à la capacité de travail. Une évaluation médicale complète ne pouvait être mise en cause pour le seul motif que des médecins avaient une opinion divergente. Le recourant n’avait pas mis en évidence des éléments objectivement vérifiables de nature clinique ou diagnostique qui auraient été ignorés dans le cadre de l’évaluation et qui seraient suffisamment pertinents pour remettre en cause le bien-fondé des expertises. Au vu de l’aggravation de l’état de santé du recourant ressortant du rapport de la doctoresse PIGUET du 13 août 2016, en lien avec une coxarthrose droite symptomatique, la capacité de travail du recourant était nulle dans toute activité dès mai 2016. S’agissant de l’abattement sur le salaire statistique, le manque de formation professionnelle ne constituait pas un critère de réduction. L’âge du recourant au moment hypothétique de la survenance de l’invalidité était encore éloigné du seuil à partir duquel la jurisprudence parlait d’un âge avancé. Ses limitations fonctionnelles avaient été prises en compte dans la diminution de la capacité de travail (20%) et celles-ci ne présentaient pas de spécificités telles qu’il y aurait lieu d’en tenir compte de manière particulièrement importante au titre de la déduction du salaire statistique. Le recourant n’indiquait pas les raisons pour lesquelles les limitations fonctionnelles pouvaient jouer concrètement sur les perspectives salariales dans le cadre d’une activité simple, légère et ne nécessitant pas de formation particulière. Dans le cas de l’évaluation du revenu d’invalide, lesdites limitations ne pouvaient être retenues une seconde fois en tant que facteur de réduction du salaire statistique. Aucun élément du dossier ne justifiait de procéder à un abattement sur le salaire statistique.</w:t>
      </w:r>
    </w:p>
    <w:p>
      <w:r>
        <w:rPr>
          <w:b/>
        </w:rPr>
        <w:t>E. 41</w:t>
      </w:r>
    </w:p>
    <w:p>
      <w:r>
        <w:t>Le 12 juillet 2019, le recourant a persisté dans ses conclusions.</w:t>
      </w:r>
    </w:p>
    <w:p>
      <w:r>
        <w:rPr>
          <w:b/>
        </w:rPr>
        <w:t>E. 42</w:t>
      </w:r>
    </w:p>
    <w:p>
      <w:r>
        <w:t>Lors d’une audience du 22 janvier 2020, le recourant a déclaré : « Je dois être opéré de la jambe droite et peut-être de l'épaule gauche. Mon état ne s'est pas amélioré. Depuis 2010, mon état a été de pire en pire. J'ai des douleurs pendant la nuit et je dois me lever. J'ai toujours passé ma vie au travail. Je n'ai jamais pensé tomber dans ce genre de situation. Le médecin voulait que je m'arrête, mais je ne voulais pas et je suis arrivé à un point où je n'en pouvais plus. J'ai vraiment dû m'arrêter. Je parle du Dr B______. À ce moment-là. j'avais mal aux jambes, aux bras, au dos. Je ne pouvais pas marcher. Mes problèmes du tunnel carpien pour lesquels j'ai dû être opéré sont intervenus à la même période. Avant mon arrêt de travail, je n'arrivais pas à marcher. Parfois, je traînais la jambe. J'avais des douleurs à la jambe qui était gonflée. J'ai été opéré à la jambe gauche (au genou) et je dois être opéré à la jambe droite. J'ai également été opéré à la hanche. On m'a demandé de faire un stage. Je faisais de mon mieux pour faire quelque chose, mais j'ai dû m'arrêter. Je n'arrivais pas à maintenir une position. C'est toujours le cas. Je peux rester assis pendant une période variant selon les jours et le temps. Je n'ai pas ressenti d'amélioration de ma santé entre 2011 et 2016. J'ai essayé de faire quelque chose, mais je n'y arrivais pas, même balayer. Je n'arrive même pas à soutenir une assiette. J'ai dû me rendre plusieurs fois en urgence à l'hôpital parce que je n'arrivais pas à marcher. Cela</w:t>
      </w:r>
    </w:p>
    <w:p>
      <w:r>
        <w:t>A/1690/2019 - 11/24 - arrive soudainement. Parfois, je traîne la jambe. Il y a des jours où je vais bien, il y a des jours où je vais mal et cela depuis 2010, et même avant. Mes collègues se moquaient de moi. Depuis mon arrêt de travail, je suis à la maison la plupart du temps couché. Je n'ai pas d'activité. Quelquefois, je fais la cuisine pour moi et ma femme. Parfois, je vais faire quelques courses quand j'ai de l'argent. J'y vais avec les béquilles et parfois en voiture. Je peux utiliser la voiture pour une courte période de temps. C'est une voiture manuelle. Je regarde la télévision. Je passe de la position assise à debout. Je me promène très peu. Parfois je ne sors même pas de la maison. Je m'entends bien avec ma femme. Je vois mes enfants quand ils viennent me voir. Cela arrive régulièrement. Ils ont 35 et 24 ans. Le plus jeune de mes fils va avoir une fille prochainement. Je lis très peu. Lorsque je sors, je vois quelques fois des amis dans la rue, parce que je ne vais pas au café. Je vais faire une petite promenade de temps en temps avec des personnes qui ont travaillé avec moi. J'ai des frères qui habitent au Portugal, en France et deux à Genève. Je ne connais pas l'adresse de mes frères qui habitent à Genève. Un de ceux-ci est parti habiter au Portugal. Je vais parfois en vacances au Portugal quand je peux et quand j'ai de l'argent. Depuis 2 ou 3 ans, je n'y suis pas allé car je n'ai pas d'argent. La vie est très chère. Je dois payer le loyer et l'assurance-maladie. C'est triste, car avant je vivais comme un roi et maintenant comme un pauvre. Sur le plan du moral, cela ne va pas bien. Je ne reçois que CHF 3'000.- et je paie CHF 3'500.- pour mes charges. Heureusement que ma femme est mon amie, sinon je mourrais de faim. Ma femme travaille à l'hôpital à 50%. J'aimerais bien avoir une meilleure santé. Je ne peux pas l'acheter. J'aimais mon travail. C'est ce que j'ai fait pendant toute ma vie. Cela a été très difficile de devoir arrêter. J'aimais aussi mon activité de concierge que j'ai dû également arrêter. Je touche maintenant la rente d'invalidité, mais pendant une longue période, j'ai vécu sur mes économies. Mes enfants m'ont également prêté de l'argent que je leur dois. Je n'ai pas touché d'aide financière de l'Hospice général ».</w:t>
      </w:r>
    </w:p>
    <w:p>
      <w:r>
        <w:rPr>
          <w:b/>
        </w:rPr>
        <w:t>E. 43</w:t>
      </w:r>
    </w:p>
    <w:p>
      <w:r>
        <w:t>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 forme et le délai prévus par la loi, compte tenu de la suspension des délais du 7e jour avant Pâques au 7e jour après Pâques inclusivement (art. 38 al. 4 let. a LPGA et art. 89C let. a LPA), le recours est recevable (art. 56 ss LPGA et 62 ss LPA).</w:t>
      </w:r>
    </w:p>
    <w:p>
      <w:r>
        <w:t>A/1690/2019 - 12/24 - 3. Le litige porte sur le droit du recourant à une rente entière d’invalidité pour la période du 1er mai 2011 au 31 juillet 2016.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5.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A/1690/2019 - 13/24 -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t>A/1690/2019 - 14/24 -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w:t>
      </w:r>
    </w:p>
    <w:p>
      <w:r>
        <w:t>A/1690/2019 - 15/24 -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(arrêts du Tribunal fédéral 9C_65/2019 du 26 juillet 2019 consid. 5 et 9C_329/2015 du 20 novembre 2015 consid. 7.3).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6.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w:t>
      </w:r>
    </w:p>
    <w:p>
      <w:r>
        <w:t>A/1690/2019 - 16/24 - champ socioculturel ou psychosocial, il n'y a pas d'atteinte à la santé à caractère invalidant (ATF 127 V 294 consid. 5a in fine).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t>A/1690/2019 - 17/24 - 9. 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w:t>
      </w:r>
    </w:p>
    <w:p>
      <w:r>
        <w:t>A/1690/2019 - 18/24 -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w:t>
      </w:r>
    </w:p>
    <w:p>
      <w:r>
        <w:t>A/1690/2019 - 19/24 -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 avantage indéniable en terme de facilité d’intégration sur le marché du travail (arrêt du Tribunal fédéral 9C_375/2019 du 25 septembre 2019 consid. 7.3). Il n'y a pas lieu de tenir compte des limitations fonctionnelles au titre d'un abattement supplémentaire lorsqu'elles ont déjà conduit un médecin à réduire la</w:t>
      </w:r>
    </w:p>
    <w:p>
      <w:r>
        <w:t>A/1690/2019 - 20/24 - capacité de travail d'un assuré, car cela reviendrait à prendre en compte deux fois le même critère (arrêt du Tribunal fédéral 9C_637/2014 du 6 mai 2015).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 Il n’y a pas lieu de prendre en compte des difficultés linguistiques dans le cas d'un assuré ayant vécu en Suisse depuis de nombreuses années, ni de prendre en compte l'absence de formation professionnelle certifiée et à la scolarité limitée, si ce défaut n'avait pas entravé l'assuré dans ses recherches d'emploi avant d'être atteint dans sa santé (arrêt du Tribunal fédéral 8C_311/2015 du 22 janvier 2016 consid. 4.5). S’agissant du critère des années de service, le Tribunal fédéral considère que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(voir par exemple l'arrêt du Tribunal fédéral 9C_200/2017 du 14 novembre 2017 consid. 4.5). Cette conclusion vaut également pour le niveau de formation (arrêt du Tribunal fédéral 8C_427/2011 du 15 septembre 2011 consid. 5.2) et de maîtrise de la langue écrite (arrêt du Tribunal fédéral 8C_17/2011 du 21 avril 2011 consid. 6.2), ces critères n’étant pas topiques pour des tâches physiques ou manuelles simples (niveau 1). Le pouvoir d'examen du juge des assurances sociales n'est pas limité à la violation du droit (y compris l'excès ou l'abus du pouvoir d'appréciation), mais s'étend aussi à l'opportunité de la décision administrative ("Angemessenheitskontrolle"). Cet examen porte sur le point de savoir si une autre solution que celle que l'autorité administrative a adoptée dans le respect de son pouvoir d'appréciation et des principes généraux du droit n'aurait pas été plus judicieuse quant à son résultat. Le juge ne peut toutefois substituer sans motif pertinent sa propre appréciation à celle de l'administration, mais doit s'appuyer sur des circonstances de nature à faire apparaître sa propre appréciation comme étant la mieux appropriée (cf. ATF 137 V 71 consid. 5.2 p. 73; 126 V 75 consid. 6 p. 81). e.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w:t>
      </w:r>
    </w:p>
    <w:p>
      <w:r>
        <w:t>A/1690/2019 - 21/24 - accessibles sans aucune formation particulière (arrêt du Tribunal fédéral 9C_279/2008 du 16 décembre 2008 consid. 4). f.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10.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w:t>
      </w:r>
    </w:p>
    <w:p>
      <w:r>
        <w:t>A/1690/2019 - 22/24 -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 11.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 12. a. En l’espèce, l’intimé a retenu que le recourant avait droit à un quart de rente d’invalidité du 1er mai 2011 au 31 juillet 2016, en se fondant sur l’expertise du Dr F______, qui retenait une capacité de travail médico-théorique de 100%, avec une baisse de rendement de 20%. Cette expertise remplit les conditions pour se voir reconnaître une pleine valeur probante. Elle confirme la pleine capacité de travail de l’assuré dans une activité adaptée retenue par le premier expert, le Dr E______. Le fait qu’elle ne précise pas le début de l’aptitude à la réadaptation ne remet pas sérieusement en cause ses conclusions. Le SMR pouvait légitimement fixer celui-ci à la date de l’examen de l’assuré par le Dr E______, dès lors que ce médecin avait alors constaté une pleine capacité de travail de l’assuré dans une activité adaptée. Le fait que le Dr D______ ait retenu une capacité de travail dans une activité adaptée de 50% le 11 octobre 2012 ne suffit pas à remettre en cause l’appréciation du Dr F______, dans la mesure où il s’agit d’une autre appréciation de la situation par le médecin traitant de l’assuré, qui ne se fondait sur aucun élément de fait qui aurait été ignoré par l’expert. De même, l’avis du Dr B______, qui retenait le 27 octobre 2011 que l’assuré était incapable de travailler à 100% en raison d’une tumeur musculaire de la jambe droite qui devait être opérée, ne suffit pas à remettre en cause les conclusions du Dr F______, car le Dr B______ a indiqué par la suite au SMR, le 16 janvier 2012, que la tumeur bénigne du quadriceps que présentait l’assuré ne l’empêchait pas de travailler selon les capacités retenues par l’expert, soit à 100% dans une activité adaptée. Il ressort également du rapport d’expertise du Dr E______ que la biopsie s’était révélée sans signe de malignité. Les conclusions de l’expert F______ sont encore confirmées par le rapport des ÉPI du 10 juillet 2012, dont il ressort qu’il avait été constaté, lors de l’observation, que l’assuré était en mesure d’occuper un poste de travail en position assise, notamment comme ouvrier à l’établi dans une activité industrielle simple et légère, même s’il restait plaintif. Elles sont encore confirmées par le rapport établi le 23 novembre 2016 par l’ORIF, qui concluait que l’assuré était capable de travailler dans une activité se déroulant principalement en position assise, dans le conditionnement léger auprès d’un</w:t>
      </w:r>
    </w:p>
    <w:p>
      <w:r>
        <w:t>A/1690/2019 - 23/24 - laboratoire de production pharmaceutique, le conditionnement de médicaments ou de polissage pour de petites pièces horlogères. Il est ainsi suffisamment établi, au degré de la vraisemblance prépondérante, que le recourant avait une capacité de travail dans une activité adaptée de 100% avec une baisse de rendement de 20%, comme l’a retenu l’intimé dans la décision querellée. b. Le recourant a encore fait valoir que l’intimé aurait dû retenir un abattement de 25% sur le revenu avec invalidité, en raison du nombre et de l’importance des limitations fonctionnelles, de son âge et de son faible niveau de formation. Le Dr F______ a retenu une capacité de travail de l’assuré de 100% avec une baisse de rendement de 20%, pour tenir compte de son vécu douloureux et de sa longue inactivité professionnelle. L’expert n’a ainsi pas tenu compte de ses limitations fonctionnelles qui l’empêchent, en particulier, de travailler debout, de marcher longtemps et de porter des charges de plus de 3 à 5 kg. Il se justifie dès lors de tenir compte de ces limitations dans le cadre d’un abattement sur le revenu avec invalidité. Le recourant était âgé de 52 ans au moment de la naissance de son droit à une rente et il est sans formation, ce qui est susceptible d'influer sur ses perspectives salariales. L’importance de ces deux éléments doit toutefois être relativisée. En effet, 52 ans est encore proche de la limite à partir de laquelle on prend en compte l’âge de l’assuré et des emplois non qualifiés sont, en règle générale, disponibles indépendamment de l'âge de l'intéressé sur le marché équilibré du travail. Par ailleurs, l’assuré a été capable de trouver du travail depuis son arrivée en Suisse jusqu’à son accident, ce qui démontre qu’il dispose de ressources pour trouver un emploi. Après un examen de l'ensemble des circonstances, un abattement supplémentaire de 15% au maximum se justifiait en l’occurrence. En tenant compte d’un tel abattement, le taux d’invalidité s’élève à 48,7%, arrondis à 49%, pour la période de janvier 2011 à mai 2016, ce qui n’ouvre pas au recourant le droit à plus d’un quart de rente. 13. Infondé, le recours sera rejeté. 14. Un émolument de CHF 200.- sera mis à la charge du recourant (art. 69 al. 1bis LAI).</w:t>
      </w:r>
    </w:p>
    <w:p>
      <w:r>
        <w:t>A/1690/2019 - 24/24 -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