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ATAS/176/2015 vom 9. März 2015</w:t>
      </w:r>
    </w:p>
    <w:p>
      <w:r>
        <w:t>GE Cour de justice, 2015-03-09, FR</w:t>
      </w:r>
    </w:p>
    <w:p>
      <w:r>
        <w:rPr>
          <w:b/>
        </w:rPr>
        <w:t xml:space="preserve">Quelle: </w:t>
      </w:r>
      <w:r>
        <w:t>https://mcp.opencaselaw.ch/entscheid/ge_gerichte_ATAS_176_2015</w:t>
      </w:r>
    </w:p>
    <w:p>
      <w:r>
        <w:t>FR: GE_GERICHTE ATAS/176/2015 du 9 mars 2015</w:t>
      </w:r>
    </w:p>
    <w:p>
      <w:r>
        <w:t>IT: GE_GERICHTE ATAS/176/2015 del 9 marzo 2015</w:t>
      </w:r>
    </w:p>
    <w:p>
      <w:pPr>
        <w:pStyle w:val="Heading2"/>
      </w:pPr>
      <w:r>
        <w:t>Erwägungen</w:t>
      </w:r>
    </w:p>
    <w:p>
      <w:r>
        <w:rPr>
          <w:b/>
        </w:rPr>
        <w:t>E. 43</w:t>
      </w:r>
    </w:p>
    <w:p>
      <w:r>
        <w:t>Le 2 octobre 2013, les EPI ont constaté l’échec du stage, compte tenu de la participation de l’assurée limitée à 2 jours.</w:t>
      </w:r>
    </w:p>
    <w:p>
      <w:r>
        <w:rPr>
          <w:b/>
        </w:rPr>
        <w:t>E. 44</w:t>
      </w:r>
    </w:p>
    <w:p>
      <w:r>
        <w:t>Le 17 octobre 2013, l’assurée s’est opposée au projet de décision. Le fait que l’OAI reconnaisse que les 2 stages avaient échoué en raison de son incapacité à être présente et opérationnelle et qu’il estime que des nouvelles mesures de réadaptation seraient vraisemblablement vouées à l’échec démontrait que son état de santé actuel ne lui permettait pas de travailler, quelle que soit l’activité. Dès lors, il était erroné de considérer qu’elle pouvait travailler à plein temps dans une activité adaptée, avec une diminution de rendement de 20%.</w:t>
      </w:r>
    </w:p>
    <w:p>
      <w:r>
        <w:rPr>
          <w:b/>
        </w:rPr>
        <w:t>E. 45</w:t>
      </w:r>
    </w:p>
    <w:p>
      <w:r>
        <w:t>Par décision du 28 octobre 2013, l’OAI a rejeté la demande de prestation de l’assurée. L’OAI a considéré que la capacité de travail avait été considérablement restreinte depuis le 7 janvier 2007. Sans son atteinte à la santé, l’assurée aurait continué d’exercer son activité de serveuse à plein temps (44 heures par semaine). Selon l’appréciation du SMR et plus particulièrement de l’expertise pluridisciplinaire du CEMed du 30 avril 2008, la capacité de travail de l’assurée dans son activité habituelle était nulle. Toutefois, dans une activité adaptée respectant strictement les limitations fonctionnelles, la capacité de travail médico- théorique raisonnablement exigible était de 100%, avec une baisse rendement de 20% depuis janvier 2007. Il ressortait du rapport du Service de réadaptation que le stage d’observation orientation auprès de l’entreprise sociale privée PRO du 16 novembre 2011 au 24 février 2012 s’était soldé par un échec, en raison de sa présence ponctuelle de 2 heures par jour seulement. Une orientation professionnelle auprès des EPI du 19 août au 17 novembre 2013 avait été prise en charge, mais ce stage avait été interrompu à la suite d’une incapacité de travail attestée par son médecin traitant. Le Service de réadaptation estimait que de nouvelles mesures de réadaptation n’étaient pas indiquées, dans la mesure où elles étaient vouées à l’échec. Comparant le revenu qu’aurait alors réalisé l’assurée sans invalidité (salaire annuel de CHF 52'105.- en 2008, actualisé à CHF 54'294.30 en 2011) au salaire statistique (TA1 de l’Enquête suisse sur la structure des salaires – ESS) qu’une femme</w:t>
      </w:r>
    </w:p>
    <w:p>
      <w:r>
        <w:t>A/3669/2013 - 15/32 - pourrait réaliser dans le secteur de l’industrie légère, grâce à une activité simple et légère à temps plein, sous déduction d’une baisse de rendement de 20% (CHF 43'015), l’OAI a obtenu un degré d’invalidité de 20,80% arrondi à 21%. Ce taux n’était pas suffisant pour ouvrir le droit à une rente d’invalidité. Enfin, l’OAI a considéré que des mesures professionnelles n’étaient pas indiquées, car elles n’étaient pas de nature à améliorer la capacité de gain de l’assurée.</w:t>
      </w:r>
    </w:p>
    <w:p>
      <w:r>
        <w:rPr>
          <w:b/>
        </w:rPr>
        <w:t>E. 46</w:t>
      </w:r>
    </w:p>
    <w:p>
      <w:r>
        <w:t>Par acte du 15 novembre 2013, l’assurée a interjeté recours contre cette décision, concluant à son annulation et à ce qu’un trois quarts de rente d’invalidité lui soit octroyé. A titre liminaire, elle a sollicité un délai pour pouvoir compléter son recours à l’aide d’un conseil. Elle contestait son degré d’invalidité de 21%. En effet, selon le Dr B______, sa capacité de travail dans une activité adaptée était limitée à 30 ou 40%. De plus l’expertise du CEMed sur laquelle se fondait l’intimé datait de plus de 5 ans et n’était plus d’actualité. En tous les cas, sa valeur probante était remise en cause. En raison d’un vice de forme lié à la signature de l’acte du 15 novembre, la recourante a déposé un nouveau recours au contenu identique le 21 novembre 2013, dans le délai imparti par la chambre de céans.</w:t>
      </w:r>
    </w:p>
    <w:p>
      <w:r>
        <w:rPr>
          <w:b/>
        </w:rPr>
        <w:t>E. 47</w:t>
      </w:r>
    </w:p>
    <w:p>
      <w:r>
        <w:t>Le 18 décembre 2013, la recourante a complété son recours, concluant préalablement à ce qu’une expertise pluridisciplinaire orthopédique, rhumatologique et psychiatrique soit ordonnée et principalement à l’annulation de la décision et à la reconnaissance de son droit à une rente entière d’invalidité, sous suite de dépens. L’OAI se fondait sur des données obsolètes, dans la mesure où elles remontaient à 2008 et ne reflétaient que très partiellement le tableau clinique actuel. S’appuyant sur le rapport du 11 décembre 2013 du Dr B______, la recourante considérait que les expertises du CEMed répondaient aux seuls besoins de l’assureur-accident, que son état psychique n’avait pas suffisamment été pris en compte, que les douleurs dont l’origine avait été objectivée n’avaient pas été différenciées de celles qui ne l’avaient pas été et que les effets de son importante médication sur la capacité de travail n’avaient pas été évalués. Le rapport du CEMed de 2008 ne pouvait se voir reconnaître une quelconque valeur probante, en raison de son caractère succinct et de son contenu contradictoire. Ses troubles psychiques étaient en grande partie à l’origine de l’échec des mesures professionnelles.</w:t>
      </w:r>
    </w:p>
    <w:p>
      <w:r>
        <w:rPr>
          <w:b/>
        </w:rPr>
        <w:t>E. 48</w:t>
      </w:r>
    </w:p>
    <w:p>
      <w:r>
        <w:t>Dans un avis du 10 janvier 2014, le Dr Q_____ du SMR a considéré que l’expertise d’avril 2008 du CEMed était convaincante et qu’il était légitime d’en suivre les conclusions, à savoir que la capacité de travail de la recourante était nulle dans son activité habituelle, mais pleine dans une activité adaptée aux limitations fonctionnelles. A cette époque, le trouble de l’adaptation avec réaction dépressive et le trouble somatoforme n’étaient pas considérés comme incapacitants. Aucun élément médical objectif ne permettait d’expliquer les échecs des mesures professionnelles mises en place ou de s’écarter des conclusions précédentes.</w:t>
      </w:r>
    </w:p>
    <w:p>
      <w:r>
        <w:t>A/3669/2013 - 16/32 - D’ailleurs, dans son rapport du 5 avril 2012, le Dr B______ avait indiqué que l’état de santé était stationnaire depuis 2008. Dans son rapport du 11 décembre 2013, ce dernier expliquait pourtant que les expertises du CEMed ne reflétaient que très partiellement le tableau clinique actuel. Il ne fournissait toutefois aucun élément médical objectif permettant de justifier d’une modification de l’état de santé de la recourante depuis 2008, se contentant de relever que les traitements psychiatriques et antalgiques entraînaient des effets secondaires très importants, sans en préciser les conséquences. Par conséquent, il était souhaitable de requérir du Dr B______ des renseignements sur l’évolution de l’état de santé de la recourante depuis l’expertise du CEMed de 2008.</w:t>
      </w:r>
    </w:p>
    <w:p>
      <w:r>
        <w:rPr>
          <w:b/>
        </w:rPr>
        <w:t>E. 49</w:t>
      </w:r>
    </w:p>
    <w:p>
      <w:r>
        <w:t>Dans sa réponse du 12 février 2014, l’intimé a réservé ses conclusions sur le fond du litige. Tant le SMR que le Dr B______ avaient considéré en avril 2012 que les expertises du CEMed constituaient une base fiable et suffisante pour évaluer l’état de santé de la recourante. Par conséquent, le Dr B______ se contredisait en niant la valeur probante des expertises du CEMed dans son rapport du 11 décembre 2013. Par ailleurs, il se contentait de remettre en question l’évaluation des experts, sans indiquer les lésions qui auraient été omises dans lesdites expertises. Contrairement à ce que soutenait la recourante, les expertises du CEMed avaient pris en considération l’ensemble de ses plaintes, qu’elles soient en lien avec l’accident ou pas. Elles avaient été analysées sous l’angle de la notion d’invalidité, la notion d’invalidité étant un principe identique en assurance-invalidité et accidents. Du point de vue psychique, la recourante ne présentait pas de limitation fonctionnelle invalidante dans son activité habituelle, tel que l’avait relevé l’expertise du CEMed de 2008 au terme d’une argumentation étoffée. De plus, ce rapport ne présentait aucune contradiction. L’état de santé psychique de la recourante avait été dûment analysé. Il n’existait donc aucun motif de s’écarter des expertises du CEMed. En ce qui concerne l’évolution de l’état de santé de la recourante, il ressortait des rapports des Drs N_____ et B______ de 2009 et 2012 que l’état de la recourante était stationnaire. En réalité, son état de santé ne s’était pas modifié depuis les expertises du CEMed. Cela étant, il était opportun que le Dr B______ se prononce clairement sur l’évolution de l’état de santé de la recourante depuis 2008, ce qui était également préconisé par le SMR.</w:t>
      </w:r>
    </w:p>
    <w:p>
      <w:r>
        <w:rPr>
          <w:b/>
        </w:rPr>
        <w:t>E. 50</w:t>
      </w:r>
    </w:p>
    <w:p>
      <w:r>
        <w:t>Une audience d’enquête s’est tenue le 6 mai 2014. A cette occasion, le Dr B______ a indiqué être le médecin traitant de la recourante depuis 19 ans. Aux diagnostics retenus par le SMR, il ajoutait une dissociation scapho-lunaire et, en lieu et place de l’épicondylite gauche, une épitrochléite, ce qui était plus ou moins pareil. Les expertises du CEMED avaient été réalisées à la demande de l’assureur-accidents. Elles avaient dès lors une vision exclusivement en relation avec l’accident. Il considérait que pour évaluer la capacité de travail d’une</w:t>
      </w:r>
    </w:p>
    <w:p>
      <w:r>
        <w:t>A/3669/2013 - 17/32 - personne, il fallait avoir une vision plus globale. Les experts du CEMed n’avaient pas tenu compte du fait que la recourante devait prendre des médicaments très puissants qui causaient des effets secondaires importants. Elle devait notamment prendre un antidépresseur et de la morphine, qui, lorsqu’ils étaient associés, causaient une grande fatigue et un manque de concentration. La plupart des douleurs dont elle souffrait pouvaient s’expliquer objectivement. Certaines étaient en revanche à mettre en relation avec un trouble somatoforme douloureux. Depuis 2008, il n’y avait pas d’évolution quant aux diagnostics. En revanche, il avait dû augmenter les doses de médicaments, en raison des douleurs plus fortes. Il y avait donc une dégradation. Sur le plan psychiatrique, son état pouvait être qualifié de stationnaire, avec des hauts et des bas. Dans son rapport du 4 avril 2012, il avait mentionné que l’état de santé était stationnaire. Il voulait dire par là qu’il n’y avait pas de nouveau diagnostic. S’agissant des stages, ils étaient psychiquement difficiles pour la recourante et provoquaient une recrudescence des plaintes. En raison de l’influence défavorable sur son état de santé, il avait réduit le temps d’activité du premier stage et interrompu le second. Il lui était très difficile de fixer un taux de capacité de travail. Il estimait toutefois ce taux à 40% dans une activité adaptée aux limitations fonctionnelles. En rapport avec l’avis du SMR du 21 août 2008, le Dr B______ confirmait que la recourante était atteinte aux deux bras, à l’épaule, au coude et au poignet, ce qui impliquait une amplitude de mouvements limitées, une limitation des ports de charges trop lourdes et une perturbation du sommeil. Les mouvements répétitifs et les mouvements de rotation lui étaient également interdits. Une intervention à l’épaule droite avait été un échec, de sorte qu’il n’y avait plus d’amélioration possible. Elle souffrait en outre de maux dorsaux qui l’empêchaient de s’incliner vers l’avant et de rester debout longtemps. Elle ne pouvait pas non plus rester assise toute une journée. Les limitations dues à la nuque venaient s’ajouter aux autres, mais n’étaient pas au premier plan. S’agissant du genou droit, la dégénérescence de la corne postérieure du ménisque interne impliquait qu’elle ne pouvait pas rester debout trop longtemps, marcher longtemps et monter et descendre des escaliers. Une canne n’était toutefois pas nécessaire en l’état. Même si la recourante exerçait une activité adaptée à 40%, un certain absentéisme serait prévisible, en raison de douleurs plus importantes occasionnées par le travail lui-même. Il était très difficile de dire si une baisse de rendement devrait être appliquée à ces 40%. Il approuvait les limitations fonctionnelles retenues par le SMR dans son rapport du 21 avril 2009, étant précisé qu’il y ajouterait les mêmes limitations pour le membre supérieur droit, avec pour celui-ci une force de préhension du pouce diminuée en plus. Ce rapport indiquait qu’il n’avait plus fait mention du bras droit, ce qui constituait une omission de sa part.</w:t>
      </w:r>
    </w:p>
    <w:p>
      <w:r>
        <w:t>A/3669/2013 - 18/32 - Les médicaments cités dans son rapport du 4 avril 2012 étaient ceux qu’il prescrivait à la recourante, étant précisé qu’il lui prescrivait en outre du Dafalgan et du Ponstan. Compte tenu du traitement médicamenteux, une activité adaptée devrait également prendre en considération une certaine lenteur de sa part. Une activité de conduite automobile n’était pas adéquate en raison de ses problèmes au genou, des changements de vitesse et des effets des médicaments. 51. Par courrier du 19 juin 2014, la Dresse H_____ a répondu à plusieurs questions de la chambre de céans et de la recourante. Elle suivait cette dernière sur le plan psychiatrique. Le premier suivi avait eu lieu du 11 décembre 2002 au 13 janvier 2003 pour un état dépressif survenu dans un contexte de conflit conjugal. Il avait été interrompu par la recourante. Le second suivi avait débuté dès le 21 novembre 2007 pour des états dépressifs récurrents. Deux séances avaient eu lieu en 2007, 19 séances en 2008, 16 séances en 2009, 12 séances en 2010, 10 séances en 2012, 9 séances en 2013 et 6 séances en 2014, soit une séance par mois en moyenne. L’état dépressif récurrent était présent depuis 2007, la situation s’étant plutôt chronicisée, mais celui-ci pouvait être qualifié de léger à moyen. Le trouble de personnalité dépendante était inchangé. Il n’y avait pas de nouveau diagnostic. Depuis décembre 2007, la thymie avait été fluctuante. Durant quelques mois en 2010, 2011 et 2012, la recourante avait été euthymique. Ses baisses d’humeur étaient souvent liées aux événements et aux conflits familiaux ou à une recrudescence de ses douleurs somatiques. Elle recevait un antidépresseur tricyclique. Elle avait une mauvaise tolérance au bruit et au stress. Elle avait mal vécu son agression au travail en 2006. Dans son activité habituelle, elle était vulnérable au stress. Sur le plan psychiatrique, elle était en mesure de travailler au moins à 50% dans une activité sans stress et avec un horaire régulier. L’importante médication à laquelle la recourante était astreinte n’influençait pas son état psychique, à l’exception des moments d’adaptation des doses d’antidouleurs à base d’opiacés. Le pronostic était peu favorable, au vu de la chronicité de la situation. 52. Dans un avis du 30 juin 2014, le Dr Q_____ du SMR a notamment relevé que les déclarations du Dr B______ ne permettaient pas de retenir un changement notable de l’état de santé de la recourante. En particulier, une augmentation des doses de médicament ne justifiait pas une aggravation de la symptomatologie, mais seulement une mise en échec thérapeutique. De même, l’échec des stages n’était justifié que par des difficultés psychiques et une recrudescence des plaintes, sans aucun élément objectif. La Dresse H_____ indiquait que la médication ne jouait aucun rôle sur l’état psychique, contrairement à ce que soutenait le Dr B______. Cette dernière ajoutait encore que le trouble dépressif était seulement léger à moyen, diagnostics non incapacitants, et que la capacité de travail de la recourante était d’au moins 50%. Elle insistait sur la composante réactionnelle des épisodes temporaires d’aggravation d’humeur. Ces conclusions ne faisaient que confirmer les conclusions du SMR.</w:t>
      </w:r>
    </w:p>
    <w:p>
      <w:r>
        <w:t>A/3669/2013 - 19/32 - 53. Dans ses observations du 17 juillet 2014, l’intimé a intégralement persisté dans ses conclusions. Il s’est référé à l’avis du 30 juin 2014 du Dr Q_____, soulignant le fait que les déclarations du Dr B______ lors de l’audience au sujet des effets de la médication sur l’état psychique étaient contredites par la Dresse H_____. Pour le surplus, l’état psychique de la recourante était constant, dans la mesure où elle présentait un état dépressif récurrent non invalidant. 54. Dans ses observations du 3 septembre 2014, la recourante a persisté dans ses conclusions. Les diagnostics retenus dans l’avis du SMR du 30 juin 2014 étaient lacunaires et bien éloignés de la réalité, compte tenu des déclarations du Dr B______ lors de son audition du 6 mai 2014. En réalité le SMR sous-estimait son état de santé. D’ailleurs, il ne prenait pas en compte les limitations fonctionnelles retenues par la Dresse H_____, laquelle attestait, sur le seul plan psychiatrique, d’une capacité de travail dans une activité sans stress de 50% seulement. Vu l’importance des limitations, il était évident qu’une expertise datant de 2008 et réalisée dans le but de répondre aux questions posées dans le cadre d’une instruction de l’assurance-accidents n’était pas suffisante pour apprécier le cas en assurance-invalidité. De plus, elle voyait mal quelle activité était encore compatible avec ses limitations fonctionnelles, ce qui obligeait l’intimé à déterminer concrètement quelle activité était exigible. 55. A la suite de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A/3669/2013 - 20/32 - s'applique sans réserve dès le jour de son entrée en vigueur (ATF 117 V 93 consid. 6b ; ATF 112 V 360 consid. 4a ; RAMA 1998 KV 37 p. 316 consid. 3b). En l'espèce, au vu des faits pertinents, du point de vue matériel, le droit éventuel aux prestations doit être examiné au regard des dispositions de la LAI en vigueur du 1er janvier 2004 (4ème révision) au 31 décembre 2007, du 1er janvier 2008 (5ème révision) jusqu'au 31 décembre 2011 et après le 1er janvier 2012 (révision 6a), en fonction des modifications de la LAI, dans la mesure de leur pertinence (ATF 130 V 445 et les références ; voir également ATF 130 V 329 et ATF 130 V 332 consid. 2.2 et 2.3). 4. Le délai de recours est de 30 jours (art. 60 al. 1 LPGA). Interjeté dans la forme et le délai prévus par la loi, le recours est recevable (art. 56ss et 38 al. 1 LPGA). 5. Le litige porte sur le droit de la recourante à une rente d'invalidité et/ou à une mesure de réadaptation, plus particulièrement sur l’évaluation de sa capacité de travail. 6. En vertu de l’art. 28 LAI, l’assuré a droit à une rente d’invalidité aux conditions suivantes : sa capacité de gain ou sa capacité d’accomplir ses travaux habituels ne peut pas être rétablie, maintenue ou améliorée par des mesures de réadaptation raisonnablement exigibles (al. 1 let. a) ; il a présenté une incapacité de travail (art. 6 LPGA) d’au moins 40% en moyenne durant une année sans interruption notable (al. 1 let. b) ; au terme de cette année, il est invalide (art. 8 LPGA) à 40% au moins (al. 1 let. c). L’assuré a droit à une rente entière s’il est invalide à 70% au moins, à un trois-quarts de rente s'il est invalide à 60% au moins, à une demi-rente s’il est invalide à 50% au moins, ou à un quart de rente s’il est invalide à 40% au moins (al. 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administratif fédéral I 654/00 du 9 avril 2001 consid. 1).</w:t>
      </w:r>
    </w:p>
    <w:p>
      <w:r>
        <w:t>A/3669/2013 - 21/32 - 7. Comme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LPGA.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(ATF non publié du 30 novembre 2004, I 50/04). En tout état, l’OAI ne saurait être lié par l’évaluation de l’invalidité faite par l’assureur-accidents (ATF non publié du 8 août 2008, 9C_751/2007).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A/3669/2013 - 22/32 -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w:t>
      </w:r>
    </w:p>
    <w:p>
      <w:r>
        <w:t>A/3669/2013 - 23/32 - l'évaluation de l'invalidité (arrêts du Tribunal administratif fédéral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w:t>
      </w:r>
    </w:p>
    <w:p>
      <w:r>
        <w:t>A/3669/2013 - 24/32 -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t>A/3669/2013 - 25/32 - 10.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A/3669/2013 - 26/32 -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A/3669/2013 - 27/32 - 12.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l’espèce, l’intimé considère que la capacité de travail de la recourante est nulle dans son activité habituelle et totale dans une activité adaptée à ses limitations fonctionnelles, avec une diminution de rendement de 20%, depuis janvier 2007. Pour parvenir à cette conclusion, l’intimé se fonde principalement sur l’expertise du CEMed du 30 avril 2008, le rapport du SMR du 21 avril 2009 et le complément d’expertise du CEMed du 17 mars 2010. Quant à la recourante, elle sollicite la mise en œuvre d’une expertise judiciaire et l’octroi d’une rente entière d’invalidité. Elle conteste la valeur probante et la pertinence des expertises du CEMed, du fait qu’elles ont été diligentées par l’assureur-accidents, qu’elles ne reflètent pas son tableau clinique actuel et qu’elles sont trop anciennes, succinctes et contradictoires. A titre liminaire, il convient de relever que le dossier contient suffisamment d’éléments permettant de se déterminer sur l’état de santé de la recourante et sa capacité de travail. Dès lors, la mise en œuvre d’une expertise judiciaire n’est pas utile à la résolution du litige et la demande de la recourante y relative doit être rejetée. Sur le fond, la chambre de céans constate que l’expertise du CEMed du 30 avril 2008 et son complément du 17 mars 2010 répondent aux réquisits jurisprudentiels en matière de valeur probante : ils se fondent sur l’examen de la recourante et l’étude de son dossier médical, comprennent une anamnèse, relatent les plaintes de la recourante et indiquent les constats objectifs des experts. Les diagnostics sont clairs et cohérents. Les conclusions quant à la capacité de travail et aux limitations fonctionnelles sont bien motivées. Enfin, l’appréciation du cas permet de comprendre les troubles affectant la recourante et leurs conséquences sur sa capacité de travail. Il en va de même du rapport du SMR établi le 21 avril 2009 par le Dr O_____ dans la mesure où ce dernier fonde son analyse sur l’expertise du CEMed du 30 avril 2008. C’est en vain que la recourante invoque l’avis de son médecin traitant, le Dr B______, pour contester les expertises du CEMed. En effet, quand bien même ces expertises ont été mise en œuvre par l’assureur-accidents dans le but principal de</w:t>
      </w:r>
    </w:p>
    <w:p>
      <w:r>
        <w:t>A/3669/2013 - 28/32 - déterminer l’existence ou non d’un lien de causalité entre les atteintes à la santé et les accidents subis, il apparaît que les experts se sont également penchés sur le caractère invalidant de ces atteintes et sur leurs effets sur la capacité de travail. Cela s’explique notamment par le fait que l’assureur-accidents était également l’assureur d’indemnités journalières en cas d’incapacité de travail pour cause de maladie, et que la connaissance des effets des diagnostics sur la capacité de travail de la recourante lui était indispensable. Rappelons encore qu’à teneur de la jurisprudence la notion d’invalidité en assurance-invalidité et en assurance-accidents est identique. Contrairement à ce que soutient la recourante, les experts du CEMed ont analysé et argumenté en détails les différentes atteintes somatiques et psychiques et leurs effets, de sorte qu’on ne saurait attribuer aux expertises un caractère succinct. De plus, le fait que les constatations objectives des experts et les conclusions qu’ils en tirent ne correspondent pas aux plaintes exprimées par la recourante ne saurait être considéré comme des contradictions. En effet, si un tel raisonnement devait être appliqué, l’analyse objective contenue dans un rapport médical devrait systématiquement correspondre aux plaintes subjectives qu’il expose, ce qui reviendrait, en d’autres termes, à rendre toute analyse médicale inutile, puisque les plaintes de l’assuré devraient être tenues pour avérées. Relevons encore que la critique des expertises du CEMed par le Dr B______ ne repose sur aucune base objective. En réalité, le médecin traitant de la recourante se contente de substituer sa propre analyse du cas à celle des experts, sans présenter d’éléments médicaux objectifs qui permettraient de s’en écarter. En outre, l’aggravation de l’état de santé alléguée n’est pas rendue vraisemblable, dans la mesure où, dans son rapport du 4 avril 2012, le Dr B______ a considéré que l’état de la recourante était stationnaire depuis 2008. A ce propos, les explications de ce médecin lors de l’audience d’enquête du 6 mai 2014 n’emportent pas la conviction de la chambre de céans. En effet, selon toute vraisemblance, un médecin traitant qui constaterait une augmentation des douleurs d’un patient le mentionnerait dans un rapport médical à l’attention de l’assurance-invalidité, quand bien même les diagnostics demeureraient inchangés. En ce qui concerne plus particulièrement l’état de santé psychique de la recourante, les explications fournies par la Dresse H_____ ne permettent pas non plus de s’écarter de l’analyse des experts du CEMed et du Dr O_____. Il apparaît en effet, que l’état psychique de la recourante est stable depuis 2007, les baisses d’humeur étant liées à des événements, des conflits familiaux ou à une recrudescence de ses douleurs somatiques. En outre, la Dresse H_____ a confirmé que le traitement médicamenteux n’avait aucun effet sur sa santé psychique. Enfin, la recourante ne saurait être suivie lorsqu’elle estime que les expertises du CEMed devraient être écartées en raison de leur ancienneté. Si ces expertises ont été établies il y a plusieurs années, respectivement 7 et 5 ans, il ressort des développements qui précèdent que l’état de santé de la recourante n’a pas évolué</w:t>
      </w:r>
    </w:p>
    <w:p>
      <w:r>
        <w:t>A/3669/2013 - 29/32 - depuis lors, de sorte que la mise en œuvre d’une nouvelle expertise est dénuée de toute utilité. La chambre de céans n’a dès lors aucun motif de s’écarter des conclusions des expertises du CEMed et du rapport du Dr O_____. Il convient donc de retenir que la capacité de travail de la recourante est nulle dans son activité habituelle depuis janvier 2007 et totale dans une activité adaptée à ses limitations fonctionnelles, avec une diminution de rendement de 20%, depuis juillet 2007. Sur ce point, c’est à tort que l’intimé a considéré que la recourante était capable de travailler dès le mois de janvier 2007. En effet, comme l’a très justement relevé le Dr O_____ du SMR, la recourante a subi une chirurgie à l’épaule en janvier 2007 et ne pouvait dès lors pas mettre à profit une quelconque capacité résiduelle de travail avant le mois de juillet 2007, soit à la fin de sa convalescence. En tout état de cause, cette erreur n’influence en rien l’issue du présent litige, compte tenu de l’échéance du délai de carence d’une année prévu à l’art. 28 al. 1 let. c LAI. Quant au calcul du degré d’invalidité, il n’est pas contesté par la recourante. C’est à bon droit que l’intimé a fixé ce dernier à 21%. 14. Reste à examiner le droit de la recourante à des mesures de réadaptation. Conformément à l’art. 7 al. 1er LAI, l’assuré doit entreprendre tout ce qui peut être raisonnablement exigé de lui pour réduire la durée et l’étendue de l’incapacité de travail (art. 6 LPGA) et pour empêcher la survenance d’une invalidité (art. 8 LPGA). L’art. 7 al. 2 LAI prévoit en outre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d’intervention précoce (art. 7d LAI), de mesures de réinsertion préparant à la réadaptation professionnelle (art. 14a LAI), de mesures d’ordre professionnel (art. 15 à 18 et 18b LAI) et de traitements médicaux au sens de l’art. 25 de la loi fédérale du 18 mars 1994 sur l’assurance-maladie (LAMal – RS 832.10). À teneur de l’art. 8 al.1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principe, une perte de gain de 20% environ ouvre droit à une mesure de reclassement dans une nouvelle profession (ATF 124 V 108 consid. 2b et les arrêts cités). Selon l'art. 15 LAI, l'assuré auquel son invalidité rend difficile le choix d'une profession ou l'exercice de son activité antérieure a droit à l'orientation</w:t>
      </w:r>
    </w:p>
    <w:p>
      <w:r>
        <w:t>A/3669/2013 - 30/32 -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15. En l’espèce, la recourante présente un degré d’invalidité supérieur à 20%, de sorte que l’intimé lui a octroyé deux mesures d’orientation professionnelle. Ces deux mesures ont été un échec, la recourante n’ayant pu mener à terme les stages et réaliser les objectifs qui lui étaient fixés, en raison de plusieurs périodes d’incapacité de travail attestées le Dr B______. Compte tenu des conclusions des experts du CEMed, du Dr O_____ et de la Dresse H_____, c’est à tort que la recourante estime que l’échec des stages démontrerait son incapacité à travailler. Par ailleurs, il ressort des éléments figurant au dossier, que la motivation de la recourante à retrouver une nouvelle activité professionnelle semble plutôt faible. Malgré sa volonté exprimée de mener à bien les stages proposés, la recourante a régulièrement indiqué qu’elle ne se voyait pas exercer une autre activité que son activité habituelle. De plus, il est apparu une certaine contradiction entre les intentions affichées de la recourante de bénéficier de mesures de réadaptation et son comportement focalisé sur ses douleurs. Les incapacités de travail attestées par le Dr B______ ont découlé des difficultés psychiques occasionnées par les stages et de la recrudescence des plaintes qu’ils provoquaient, sans qu’aucun élément objectif ne permette de les justifier. A ce propos, il est troublant que la recourante ait bénéficié d’un arrêt de travail 2 jours après le début de son second stage. Cela ne fait que renforcer le sentiment que la motivation de la recourante de bénéficier d’une mesure de reclassement est faible. Compte tenu de ces éléments, c’est à bon droit que l’intimé a estimé que d’autres mesures de réadaptation n’étaient pas opportunes, car vraisemblablement vouées à l’échec. 16. Au vu de ce qui précède, le recours est rejeté.</w:t>
      </w:r>
    </w:p>
    <w:p>
      <w:r>
        <w:t>A/3669/2013 - 31/32 - 17. Etant donné que depuis le 1er juillet 2006, la procédure n'est plus gratuite (art. 69 al. 1bis LAI), il y a lieu de condamner la recourante au paiement d'un émolument de CHF 200.-.</w:t>
      </w:r>
    </w:p>
    <w:p>
      <w:r>
        <w:t>A/3669/2013 - 32/32 -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