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ATAS/176/2014 vom 11. Februar 2014</w:t>
      </w:r>
    </w:p>
    <w:p>
      <w:r>
        <w:t>GE Cour de justice, 2014-02-11, FR</w:t>
      </w:r>
    </w:p>
    <w:p>
      <w:r>
        <w:rPr>
          <w:b/>
        </w:rPr>
        <w:t xml:space="preserve">Quelle: </w:t>
      </w:r>
      <w:r>
        <w:t>https://mcp.opencaselaw.ch/entscheid/ge_gerichte_ATAS_176_2014</w:t>
      </w:r>
    </w:p>
    <w:p>
      <w:r>
        <w:t>FR: GE_GERICHTE ATAS/176/2014 du 11 février 2014</w:t>
      </w:r>
    </w:p>
    <w:p>
      <w:r>
        <w:t>IT: GE_GERICHTE ATAS/176/2014 del 11 febbraio 2014</w:t>
      </w:r>
    </w:p>
    <w:p>
      <w:pPr>
        <w:pStyle w:val="Heading2"/>
      </w:pPr>
      <w:r>
        <w:t>Erwägungen</w:t>
      </w:r>
    </w:p>
    <w:p>
      <w:r>
        <w:rPr>
          <w:b/>
        </w:rPr>
        <w:t>E. 1</w:t>
      </w:r>
    </w:p>
    <w:p>
      <w:r>
        <w:t>a)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b) Lorsque l'assuré, en tant qu'indépendant, n'est pas soumis à l'assurance obligatoire (art. 1 LAA a contrario) et dans la mesure où aucune assurance-accident n'assume la prise en charge (art 1a al. 2 let. b LAMal), il est assuré contre les accidents en vertu de la LAMal (RAMA 3/200 p 150), de sorte que l'assurance perte de gain est bien complémentaire à une assurance sociale. Sa compétence pour juger du cas d’espèce est ainsi établie.</w:t>
      </w:r>
    </w:p>
    <w:p>
      <w:r>
        <w:rPr>
          <w:b/>
        </w:rPr>
        <w:t>E. 2</w:t>
      </w:r>
    </w:p>
    <w:p>
      <w:r>
        <w:t>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est directement recevable par-devant la Cour de céans. qui</w:t>
      </w:r>
    </w:p>
    <w:p>
      <w:r>
        <w:t>A/3576/2012 - 12/21 - statue selon la procédure simplifiée (art. 243 al. 2 let. f CPC) et établit d'office les faits (art. 247 al. 2 let. a CPC). b) La demande, déposée le 29 novembre 2012, satisfaisant aux conditions précitées et respectant pour le surplus les conditions de recevabilité prévues par les art. 59 et 244 CPC, est par conséquent recevable.</w:t>
      </w:r>
    </w:p>
    <w:p>
      <w:r>
        <w:rPr>
          <w:b/>
        </w:rPr>
        <w:t>E. 3</w:t>
      </w:r>
    </w:p>
    <w:p>
      <w:r>
        <w:t>Le litige porte sur le droit de la défenderesse de résilier le contrat conclu pour cause de réticence.</w:t>
      </w:r>
    </w:p>
    <w:p>
      <w:r>
        <w:rPr>
          <w:b/>
        </w:rPr>
        <w:t>E. 4</w:t>
      </w:r>
    </w:p>
    <w:p>
      <w:r>
        <w:t>a) Pour les contestations relatives aux assurances complémentaires à l'assurance- maladie sociale au sens de la loi fédérale du 18 mars 1994 sur l'assurance-maladie (LAMal; RS 832.10), la procédure simplifiée s'applique quelle que soit la valeur litigieuse (art. 243 al. 2 CPC) et le tribunal établit les faits d'office (art. 247 al. 2 let. a CPC). b) 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c)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w:t>
      </w:r>
    </w:p>
    <w:p>
      <w:r>
        <w:rPr>
          <w:b/>
        </w:rPr>
        <w:t>E. 5</w:t>
      </w:r>
    </w:p>
    <w:p>
      <w:r>
        <w:t>p. 352; arrêt 5C.5/2005 du 23 juin 2005 consid. 2.4 non publié aux ATF 131 III 542). L'opinion contraire de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elle ne saurait être suivie (Arrêt du 28 mai 2008; 5C.262/2006).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w:t>
      </w:r>
    </w:p>
    <w:p>
      <w:r>
        <w:t>A/3576/2012 - 14/21 -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w:t>
      </w:r>
    </w:p>
    <w:p>
      <w:r>
        <w:rPr>
          <w:b/>
        </w:rPr>
        <w:t>E. 6</w:t>
      </w:r>
    </w:p>
    <w:p>
      <w:r>
        <w:t>a)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consid. 6.1).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w:t>
      </w:r>
    </w:p>
    <w:p>
      <w:r>
        <w:t>A/3576/2012 - 15/21 -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 b)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Dans un arrêt du 11 août 2010 (4A_303/2010), le Tribunal fédéral rappelle qu'une partie de la doctrine plaide pour une notion de la causalité large, car 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BRULHART, Droit des assurances privées, 2008, n° 500 p. 226 s.). D'autres auteurs ne s'expriment pas sur la question, tout en plaidant pour une application stricte du principe de la causalité (cf. EISNER-KIEFER, Kausalität und Verschulden im VVG und VE-VVG, HAVE 2008 p. 215 ss, spéc. p. 217; GAUCH, Das Kündigungsrecht des Versicherers bei verletzter Anzeigepflicht des Antragstellers, RSJB 2006, p. 361 ss, spéc. p. 368 ss). Si l'on retient une notion de la causalité large pour refuser les prestations en cas de sinistre, le fait important pour apprécier le risque qui n'a pas été déclaré doit néanmoins se rapporter au risque qui s'est réalisé. L'assureur ne saurait, en vertu de l'art. 6 al. 3 LCA, refuser d'indemniser l'assuré dont le véhicule parqué a été endommagé parce que cet assuré, par exemple, lui a tu avoir été condamné pour conduite en état d'ébriété ou vitesse excessive. Dans le cas jugé par le Tribunal fédéral, dans la mesure où l'assuré avait, par le passé, déjà obtenu des prestations d'assurances suite à des actes</w:t>
      </w:r>
    </w:p>
    <w:p>
      <w:r>
        <w:t>A/3576/2012 - 16/21 - de vol et de vandalisme sur un véhicule lui appartenant, on pouvait admettre qu'il s'agissait là de faits qui étaient susceptibles d'influer sur la détermination de l'assureur de conclure le contrat ou de le conclure aux conditions convenues s'il en avait eu connaissance, de sorte que la réticence était admise. c) La nouvelle teneur de l'art. 6 LCA s'applique aux réticences commises après le 1er janvier 2006 (ATF 138 III 416; arrêt 4A_370/2012 du 4 décembre 2012). Le Tribunal fédéral a maintes fois confirmé que c'était le droit en vigueur lors de la conclusion du contrat qui était applicable. Ainsi, lorsque le contrat avait été conclu avant le 1er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1er janvier 2006 (cf. en particulier Vincent BRULHART, Droit des assurances privées, Berne, 2008, page 227). d)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w:t>
      </w:r>
    </w:p>
    <w:p>
      <w:r>
        <w:rPr>
          <w:b/>
        </w:rPr>
        <w:t>E. 7</w:t>
      </w:r>
    </w:p>
    <w:p>
      <w:r>
        <w:t>En l'espèce, la Dresse L__________ a clairement déclaré à l’assurance le 13 avril 2010 que sa patiente souffrait de migraines cataméniales régulières depuis 1996. Elle a précisé que les informations données provenaient exclusivement de sa patiente, au surplus présente alors qu’elle avait rempli le questionnaire de l’assurance. C’est d’ailleurs seulement après que la réticence ait été invoquée que la demanderesse a prétendu s’être trompée entre 1996 et 1998 et avoir sollicité son médecin pour qu’elle modifie ses déclarations. A cet égard, la Dresse L__________ n'a pas accepté de revenir sur ses déclarations, contrairement à ce que l'assurée a soutenu. D’ailleurs, les déclarations des autres médecins confirment l’existence de maux de tête de type migraineux remontant à 1996 en tout cas. Le Dr O_________ a noté dans l’anamnèse que, selon la patiente, celle-ci souffrait de migraines depuis 1993, précisant que les HUG avaient mentionné des migraines ayant débuté en 1996. Il ressort en effet du rapport du 21 décembre 2010 des HUG que la patiente est connue pour des migraines importantes depuis 1996. Le Dr Q_________ a également daté le début des douleurs à la tête et à la nuque à 1996, sur la base des</w:t>
      </w:r>
    </w:p>
    <w:p>
      <w:r>
        <w:t>A/3576/2012 - 17/21 - indications de l’assurée. Si la Dresse M_________ ne suit l’assurée que depuis 2006, il n’en demeure pas moins que le Dr Q_________ a confirmé que selon l’anamnèse établie par cette neurologue, les céphalées avaient débuté en 1996. Il ressort au surplus des déclarations des médecins et du rapport des HUG que ces céphalées ont débuté suite à un choc psychologique lié à l’infidélité du mari de la demanderesse. A cet égard, les allégations selon lesquelles ce choc daterait de la fin de l’année 1997 ne sont pas crédibles. D’une part, elles sont contradictoires avec les déclarations de l'assurée à ses divers médecins-traitants lors des premières consultations. D’autre part, si le choc avait eu lieu durant les fêtes de Noël à fin décembre 1997, le Dr Q_________, consulté en janvier 1998, n’aurait pas manqué de le mentionner et de constater que sa patiente était encore sous le coup de ce choc. Or, à l'inverse, il a noté que durant plusieurs mois suivant le choc, l'assurée avait développé des nausées et des vomissements, ce qui implique qu'il ait eu lieu bien avant décembre 1997. D'ailleurs, les déclarations de l'assurée concernant le début des céphalées sont contradictoires. Elle a d’abord affirmé, dans sa demande, que les migraines cataméniales avaient débuté en 1997 puis affirmé, lors de l’audience du 18 juin 2013 que les maux de tête avaient commencé en 2000 seulement pour s’aggraver dès 2003 et devenir paroxystiques en 2006. Après l’audition de ses médecins, lors de l’audience du 5 novembre 2013, elle a justifié ses précédentes déclarations, selon lesquelles les maux de tête étaient anodins jusqu’en 2006, par le fait que jusque là, elle ne savait pas qu’il s’agissait de migraines cataméniales. Ainsi, au vu des attestations concordantes de l'ensemble des médecins sur l'apparition de graves et fréquentes céphalées en 1996 déjà et en raison des nombreuses contradictions de la demanderesse, la Cour ne peut se fonder sur ses affirmations selon lesquelles ces maux dateraient de fin 1997 seulement. Il est donc établi au degré de la vraisemblance prépondérante que l’assurée souffre d’importants maux de tête depuis 1996.</w:t>
      </w:r>
    </w:p>
    <w:p>
      <w:r>
        <w:rPr>
          <w:b/>
        </w:rPr>
        <w:t>E. 8</w:t>
      </w:r>
    </w:p>
    <w:p>
      <w:r>
        <w:t>S’agissant de la gravité et de la fréquence de ceux-ci, les médecins confirment que l’assurée souffrait chaque mois depuis lors de migraines cataméniales durant une semaine, voire durant dix à quinze jours, accompagnées de vomissements. A nouveau, les déclarations de l’assurée sont contradictoires. Après avoir affirmé que ces céphalées étaient peu graves jusqu’en 2006, elle a admis que, suite au choc psychologique de 1996, et non pas de fin 1997, elle avait dû se rendre à l’hôpital en raison de très importants maux de tête, de vomissements et de diarrhées ayant justifié la prescription de médicaments. Jusqu’en 2006, les douleurs à la nuque et à la tête qu’elle ressentait étaient consécutives ou accompagnées par des vomissements tellement importants qu’elle s’étouffait presque. Elle ne peut donc pas raisonnablement prétendre qu’en novembre 1997, lorsqu’elle a rempli le questionnaire, elle ne souffrait que de maux de tête épisodiques, qui n’avaient lieu que deux à trois fois par an, sans gravité et de peu d’intensité. Peu importe à cet égard qu’en novembre 1997, la demanderesse ait su que les graves maux de tête dont elle souffrait étaient d’origine hormonale, neurologique ou étaient consécutifs</w:t>
      </w:r>
    </w:p>
    <w:p>
      <w:r>
        <w:t>A/3576/2012 - 18/21 - à une atteinte cervicale suite à un accident de la circulation. En tous les cas, compte tenu de la gravité et de la fréquence des céphalées qu’elle subissait depuis 1996 déjà, la demanderesse devait répondre par l’affirmative à la question 28, qui mentionne expressément les migraines et les maux de tête. Elle devait en tout cas répondre par l'affirmative à l’une des questions spécifiquement posées. Soit elle reconnaissait souffrir de maux de tête et/ou de migraines dans le cadre de la question N° 28, soit elle connaissait l’origine hormonale de ces maux de tête et les attribuait à une maladie propre à la femme, selon la question N° 34, soit elle ignorait la cause et l’origine de ces céphalées et elle mentionnait alors un autre trouble à la santé, en répondant par l’affirmative à la question N° 35. L'instruction de la cause a donc permis d'établir que l'assurée souffrait depuis 1996 de fréquents et graves maux de tête avec des vomissements, suite à un choc psychologique causé par la découverte de l'adultère de son mari avec sa cousine.</w:t>
      </w:r>
    </w:p>
    <w:p>
      <w:r>
        <w:rPr>
          <w:b/>
        </w:rPr>
        <w:t>E. 9</w:t>
      </w:r>
    </w:p>
    <w:p>
      <w:r>
        <w:t>Revenue à Genève en 1995, selon le registre cantonal de l’Office cantonal de la population, l’assurée a d’abord affirmé qu’elle n’avait consulté aucun médecin avant le Dr N_________, qui a été son gynécologue depuis le 28 juin 2001. Or, elle a été régulièrement suivie par le Dr Q_________ dès le 21 janvier 1998, médecin qu’elle a consulté neuf fois cette année-là. Surtout, lors de la première consultation de janvier 1998, il s’est avéré, d’une part, que l’assurée était déjà sous traitement prescrit par ordonnance et, d’autre part, qu’elle avait été hospitalisée, ou à tout le moins, qu’elle avait consulté les HUG en 1997, en raison de la gravité des céphalées et des vomissements qu’elle subissait. Au surplus, et bien qu’il n’ait pas été possible d’établir avec précision à quelle époque le Dr P_________ était le gynécologue de la demanderesse, il est probable que tel ait été le cas entre 1995 et 1998 car il était assez peu vraisemblable que la demanderesse, mariée depuis 1993, n’ait pas consulté de gynécologue entre son mariage et novembre 1997. Ainsi, à la question de savoir si elle avait consulté un médecin ces cinq dernières années (N° 16), la demanderesse aurait dû répondre par l’affirmative. Il n'est à cet égard pas vraisemblable que l'assurée ait oublié l'existence du Dr Q_________ lorsqu'elle a été interrogée par la Cour, au vu du nombre de consultations annuelles de janvier 1998 à 2001. Le Dr Q_________ a également révélé qu’en janvier 1998 déjà, l’assurée prenait du Tonopan® et du Voltaren®, en raison des céphalées qu’elle subissait. Compte tenu du fait que ces dernières ont débuté en 1996, l’assurée prenait donc déjà ces antidouleurs en novembre 1997. Au surplus, lors de la consultation et/ou de l’hospitalisation de la demanderesse aux HUG, une prescription de Stilnox® et de Xanax® avait été établie. En conséquence, la demanderesse aurait dû répondre par l’affirmative à la question N° 14, s’agissant de savoir si elle avait régulièrement besoin de médicaments, voire à la question N° 15, permettant de déterminer si elle était sous traitement ou contrôle médical.</w:t>
      </w:r>
    </w:p>
    <w:p>
      <w:r>
        <w:t>A/3576/2012 - 19/21 - Pour terminer, il est notoire que le Stilnox® est un somnifère et le Xanax® a pour but de traiter l’anxiété, ces médicaments ne pouvant être obtenus que sur prescription médicale. Il n'est pas imaginable que les médecins des HUG aient affirmé à l'assurée qu'il s'agissait de traiter seulement une diarrhée. Le Dr Q_________ a exposé de façon convaincante que l'assurée présentait des symptômes dépressifs en janvier 1998 et que l’ensemble des autres troubles dont souffrait l’assurée depuis 1996, soit céphalées, vomissements, gastrite, etc., était dû au choc psychique subi, les examens neurologiques s’étant révélés normaux et l'origine menstruelle n'étant pas encore établie. L'ensemble de ces éléments confirme le diagnostic d'état dépressif retenu par le Dr Q_________, consécutif au traumatisme psychologique subi en 1996. A défaut d’attribuer ces maux de tête à une affection du système nerveux, l’assurée devait tout de même répondre par l’affirmative à la question N° 28, s’agissant de savoir si elle souffrait de dépression.</w:t>
      </w:r>
    </w:p>
    <w:p>
      <w:r>
        <w:rPr>
          <w:b/>
        </w:rPr>
        <w:t>E. 10</w:t>
      </w:r>
    </w:p>
    <w:p>
      <w:r>
        <w:t>Il est ainsi établi que la preneuse d'assurance a répondu de façon inexacte à plusieurs des questions posées dans le questionnaire du 25 novembre 1997. Elle ne prétend pas, à juste titre, que les questions n’étaient pas claires. Il est établi qu'en se posant sérieusement la question, l'assurée ne pouvait pas ignorer qu'elle souffrait de troubles à sa santé qui tombaient sous le coup des questions de l'assurance. Elle ne démontre pas, au degré de la vraisemblance prépondérante, qu’elle aurait clairement et précisément exposé au courtier d’assurance qui la conseillait à l’époque l’ensemble des troubles dont elle souffrait et leur gravité. Il est par contre probable que, si elle a minimisé l’ampleur de ses troubles à ce courtier, comme elle l’a fait à l’égard de la Cour de céans, prétendant souffrir de maux de tête anodins moins de trois fois par année, il ne l’aura alors pas enjointe à répondre par l’affirmative aux questions posées. Pour ce motif, il n’est pas utile d’entendre ce courtier. S'agissant de la déclaration de résolution, elle mentionne précisément que ce sont les migraines datant de 1996 qui ont été passées sous silence et que c'est à la question no 28 que l'assurée aurait dû répondre par l'affirmative, ce qui est suffisant selon la jurisprudence. Quant au délai de 4 semaines pour résoudre le contrat, il a commencé à courir seulement dès que l'assurance a eu une connaissance suffisante des éléments constitutifs de la réticence, soit à réception du rapport médical détaillé de la Dresse L__________ du 13 avril 2010, et non pas sur la base de celui du 2 février 2010. Au surplus, l'assurée ne rend pas vraisemblable que l'assurance aurait eu connaissance lors d'un sinistre antérieur de la réticence commise.</w:t>
      </w:r>
    </w:p>
    <w:p>
      <w:r>
        <w:rPr>
          <w:b/>
        </w:rPr>
        <w:t>E. 11</w:t>
      </w:r>
    </w:p>
    <w:p>
      <w:r>
        <w:t>En dernier lieu, la demanderesse ne parvient pas à renverser la présomption légale et à démontrer que les réponses inexactes aux questions posées, en particulier la question no 28, portaient sur un fait sans importance pour l'appréciation du risque et n’avaient aucune influence sur la détermination de la volonté de l’assurance lors de la conclusion du contrat. En effet, compte tenu de la gravité et de la fréquence des troubles dont souffrait l’assurée ainsi que de leur étiologie peu claire, il est établi au</w:t>
      </w:r>
    </w:p>
    <w:p>
      <w:r>
        <w:t>A/3576/2012 - 20/21 - degré de la vraisemblance prépondérante que l’assurance n’aurait pas conclu le contrat aux conditions convenues, si elle avait connu l’existence des troubles de la demanderesse. Au surplus, l'existence d'un lien de causalité n'est pas exigée sous l'empire de l'art. 6aLCA applicable au cas d'espèce. Au demeurant, s'il était exigé, le lien de causalité entre la réticence et le sinistre serait établi. L'existence de migraines intenses, fréquentes, accompagnée de vomissements est un fait important pour apprécier le risque, fait qui n'a pas été déclaré, et qui se rapporte au risque qui s'est réalisé. En effet, depuis les deux accidents des 18 décembre 2009 et 18 janvier 2010, l'assurée est incapable de travailler en raison, en particulier, de maux de tête, de cervicalgies persistantes et de nausées, ainsi que de photophobie sans trouble neurologique clair, l'ensemble des médecins attestant de l'aggravation de troubles préexistants. L'assurée souffrait en 1996 déjà de maux de tête et de nausées, la photo-phono-phobie étant mentionnée dès 2003 seulement. Cela étant, si les symptômes accompagnant les migraines cataméniales ont certainement été en s'aggravant depuis 2000, il n'en demeure pas moins que ce sont les mêmes troubles, non déclarés en novembre 1997, même si leur étiologie est peut-être différente, qui sont à l'origine du sinistre ou, à tout le moins, qui influencent considérablement l'étendue des prestations de l'assurance, soit le versement de tout ou partie des indemnités perte de gain durant 730 jours.</w:t>
      </w:r>
    </w:p>
    <w:p>
      <w:r>
        <w:rPr>
          <w:b/>
        </w:rPr>
        <w:t>E. 12</w:t>
      </w:r>
    </w:p>
    <w:p>
      <w:r>
        <w:t>Dès lors qu'il est établi que la preneuse d'assurance a répondu de façon inexacte notamment à la question no 28, précise et non équivoque, que la présomption de l'art. 4 al. 3 LCA n'a pas été renversée, et que l'assurance pouvait se départir du contrat en application de l'art. 6 aLCA, le lien de causalité entre les faits cachés et le sinistre n'étant pas une condition au droit de la défenderesse à se prévaloir de la réticence dans le cadre de cette disposition.</w:t>
      </w:r>
    </w:p>
    <w:p>
      <w:r>
        <w:rPr>
          <w:b/>
        </w:rPr>
        <w:t>E. 13</w:t>
      </w:r>
    </w:p>
    <w:p>
      <w:r>
        <w:t>La demande doit dès lors être rejetée. Pour le surplus, il n'est pas alloué de dépens à la charge de la demanderesse (art. 17 al. 3 let. b de la loi d'application du code civil et du code des obligations du 7 mai 1981 [LaCC ; RS E 1 05]) ni perçu de frais judiciaires (art. 114 let. e CPC).</w:t>
      </w:r>
    </w:p>
    <w:p>
      <w:r>
        <w:t>A/3576/2012 - 21/21 -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