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ATAS/176/2010 vom 18. Februar 2010</w:t>
      </w:r>
    </w:p>
    <w:p>
      <w:r>
        <w:t>GE Cour de justice, 2010-02-18, FR</w:t>
      </w:r>
    </w:p>
    <w:p>
      <w:r>
        <w:rPr>
          <w:b/>
        </w:rPr>
        <w:t xml:space="preserve">Quelle: </w:t>
      </w:r>
      <w:r>
        <w:t>https://mcp.opencaselaw.ch/entscheid/ge_gerichte_ATAS_176_2010</w:t>
      </w:r>
    </w:p>
    <w:p>
      <w:r>
        <w:t>FR: GE_GERICHTE ATAS/176/2010 du 18 février 2010</w:t>
      </w:r>
    </w:p>
    <w:p>
      <w:r>
        <w:t>IT: GE_GERICHTE ATAS/176/2010 del 18 febbraio 2010</w:t>
      </w:r>
    </w:p>
    <w:p>
      <w:pPr>
        <w:pStyle w:val="Heading2"/>
      </w:pPr>
      <w:r>
        <w:t>Erwägungen</w:t>
      </w:r>
    </w:p>
    <w:p>
      <w:r>
        <w:rPr>
          <w:b/>
        </w:rPr>
        <w:t>E. 1</w:t>
      </w:r>
    </w:p>
    <w:p>
      <w:r>
        <w:t>La loi genevoise du 22 novembre 1941 sur l’organisation judiciaire (LOJ ; E 2 O5) a été modifiée et a institué, dès le 1er août 2003, un Tribunal cantonal des assurances sociales, lequel, conformément à l'art. 56 V LOJ, le TCAS connaît en instance unique des contestations prévues à l’art. 56 LPGA relatives à la loi cantonale du 25 octobre 1968 sur les prestations cantonales complémentaires à l’assurance-vieillesse et survivants et à l’assurance-invalidité (LPCC ; art. 56 V al. 2 let. a LOJ). Sa compétence pour juger du cas d’espèce est donc établie.</w:t>
      </w:r>
    </w:p>
    <w:p>
      <w:r>
        <w:rPr>
          <w:b/>
        </w:rPr>
        <w:t>E. 2</w:t>
      </w:r>
    </w:p>
    <w:p>
      <w:r>
        <w:t>a) En matière de prestations complémentaires cantonales, les décisions sur opposition sont sujettes à recours dans un délai de 30 jours (art. 43 LPCC). b) S’agissant des subsides, l’art. 36 de la loi d’application de la loi fédérale sur l’assurance-maladie (LaLAMal ; J 3 05) ouvre les mêmes voies de droit. c) En l’espèce, le recours a été déposé dans les forme et délai imposés par la loi, de sorte qu’il est recevable.</w:t>
      </w:r>
    </w:p>
    <w:p>
      <w:r>
        <w:rPr>
          <w:b/>
        </w:rPr>
        <w:t>E. 3</w:t>
      </w:r>
    </w:p>
    <w:p>
      <w:r>
        <w:t>Les décisions de restitution du 31 mars 2009 étant entrées en force, la présente procédure a pour unique objet la remise de l’obligation de restituer les sommes de 12'302 fr. 40 et 532 fr.</w:t>
      </w:r>
    </w:p>
    <w:p>
      <w:r>
        <w:rPr>
          <w:b/>
        </w:rPr>
        <w:t>E. 4</w:t>
      </w:r>
    </w:p>
    <w:p>
      <w:r>
        <w:t>a) Aux termes de l’art. 33 al. 1 LaLAMal (s’agissant des subsides) et 24 al. 1 LPCC (s’agissant des prestations complémentaires cantonales), les prestations indûment touchées doivent être restituées. La restitution peut être demandée dans un délai d’une année à compter de la connaissance du fait qui ouvre le droit à la restitution, mais au plus tard cinq ans après le versement de la prestation (art. 28 LPGA). L’administration est ainsi tenue d’exiger de l’assuré la restitution des indemnités auxquelles il n’avait pas droit. Il s’agit là d’une obligation légale à laquelle il est impossible de déroger sauf cas expressément prévu par la loi. Celle-ci permet cependant à l’administration de renoncer à exiger la restitution lorsque le bénéficiaire des prestations indûment reçues était de bonne foi et que la restitution n’entraînerait pour lui des rigueurs financières particulières. b) La remise de l'obligation de restituer est donc soumise à deux conditions cumulatives : la bonne foi de l'assuré et sa situation financière difficile.</w:t>
      </w:r>
    </w:p>
    <w:p>
      <w:r>
        <w:t>A/4271/2009 - 5/7 -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 A cet égard, la jurisprudence développée à propos de l’art. 47 al. 1 de la loi fédérale sur l'assurance-vieillesse et survivants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DTA 1998 p. 70; ATFA du 23 janvier 2002 en la cause C 110/01).</w:t>
      </w:r>
    </w:p>
    <w:p>
      <w:r>
        <w:rPr>
          <w:b/>
        </w:rPr>
        <w:t>E. 5</w:t>
      </w:r>
    </w:p>
    <w:p>
      <w:r>
        <w:t>En l’espèce, la recourante affirme avoir adressé à l’intimé la copie de son contrat d’engagement dès la conclusion de ce dernier, durant l’été 2003. Elle émet la supposition que l’intimé a égaré ce document et fait remarquer qu'il ne peut prouver le fait qu'elle ne le lui a pas communiqué. Force est cependant de constater que la recourante n’a pu apporter la preuve de ses dires. S'il est vrai que,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w:t>
      </w:r>
    </w:p>
    <w:p>
      <w:r>
        <w:t>A/4271/2009 - 6/7 -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Eu égard à ces principes, la recourante n’ayant pu établir au degré de la vraisemblance prépondérante requis qu’elle a effectivement rempli son obligation de renseigner l’intimé en temps utile, le Tribunal de céans ne peut que considérer que tel n’a pas été le cas et, partant, qu’il y a eu violation du devoir d’informer. D’autant plus qu’ainsi que le fait remarquer l’intimé, plusieurs décisions ont été notifiées à la recourante depuis lors. Si l’on peut effectivement admettre dans certaines circonstances que des subtilités de la décision d’octroi de prestations complémentaires puissent échapper à un bénéficiaire, tel n’est pas le cas en l’occurrence. Le montant du revenu retenu comme base de calcul par l’intimé ressort en effet clairement des décisions rendues depuis 2003. La violation du devoir de renseigner doit donc être considérée comme établie.</w:t>
      </w:r>
    </w:p>
    <w:p>
      <w:r>
        <w:rPr>
          <w:b/>
        </w:rPr>
        <w:t>E. 6</w:t>
      </w:r>
    </w:p>
    <w:p>
      <w:r>
        <w:t>Reste à qualifier la gravité de cette faute. En effet, ainsi que cela a été rappelé supra, selon la jurisprudence, la bonne foi d'un assuré peut être reconnue lorsque l'acte ou l'omission fautif ne constitue qu'une violation légère de l'obligation d'annoncer ou de renseigner. En l’espèce, il convient donc d’examiner si la nécessité d’annoncer l’augmentation de son revenu devait ou non apparaître évidente à la recourante. Tel est manifestement le cas, d’autant qu’il lui a été rappelé à plusieurs reprise que toute modification devait être communiquée. En l'occurrence, on constate que l’omission de l'assurée a eu pour conséquence un versement indu de plus de 12'000 fr. au total. On ne saurait donc qualifier sa faute de légère.</w:t>
      </w:r>
    </w:p>
    <w:p>
      <w:r>
        <w:rPr>
          <w:b/>
        </w:rPr>
        <w:t>E. 7</w:t>
      </w:r>
    </w:p>
    <w:p>
      <w:r>
        <w:t>Il suit de tout ce qui précède que la recourante ne peut exciper, dans le cas d’espèce, de sa bonne foi. Partant, il est superfétatoire d’examiner si la condition de la charge trop lourde est réalisée. Le recours sera donc rejeté, étant précisé que l'intimé a d'ores et déjà annoncé que la mise sur pied d'un plan de paiement est envisageable.</w:t>
      </w:r>
    </w:p>
    <w:p>
      <w:r>
        <w:t>A/4271/2009 - 7/7 -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