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ATAS/176/2009 vom 18. Februar 2009</w:t>
      </w:r>
    </w:p>
    <w:p>
      <w:r>
        <w:t>GE Cour de justice, 2009-02-18, FR</w:t>
      </w:r>
    </w:p>
    <w:p>
      <w:r>
        <w:rPr>
          <w:b/>
        </w:rPr>
        <w:t xml:space="preserve">Quelle: </w:t>
      </w:r>
      <w:r>
        <w:t>https://mcp.opencaselaw.ch/entscheid/ge_gerichte_ATAS_176_2009</w:t>
      </w:r>
    </w:p>
    <w:p>
      <w:r>
        <w:t>FR: GE_GERICHTE ATAS/176/2009 du 18 février 2009</w:t>
      </w:r>
    </w:p>
    <w:p>
      <w:r>
        <w:t>IT: GE_GERICHTE ATAS/176/2009 del 18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a) La décision litigieuse, du 1er juillet 2008, est postérieure à l'entrée en vigueur de la LPGA le 1er janvier 2003, ainsi qu'à l'entrée en vigueur, le 1er janvier 2004, des modifications de la loi fédérale sur l'assurance-invalidité du 21 mars 2003 (4ème révision). De plus, la demande de prestations a été déposée le 22 août 2006 et se réfère à une incapacité de travail significative ayant débuté au plus tôt le 10 mai 2005 (cf. demande de prestations, p. 6), soit postérieurement à l’entrée en vigueur de ces dispositions. Par conséquent, du point de vue matériel, le droit éventuel à une rente d'invalidité doit être examiné au regard de la LPGA et des modifications de la LAI consécutives à la 4ème révision de cette loi (ATF 130 V 445 et les références; voir également ATF 130 V 329).</w:t>
      </w:r>
    </w:p>
    <w:p>
      <w:r>
        <w:t>A/3145/2008 - 6/13 - b) Quant aux modifications de la LAI du 6 octobre 2006 (5ème révision de la LAI), entrées en vigueur le 1er janvier 2008,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Le litige porte en l’espèce sur le droit du recourant aux prestations de l’assurance- invalidité, singulièrement sur son degré d’invalidité.</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L’assuré a droit à une rente entière s’il est invalide à 70% au moins, à un trois-quarts de rente s'il est invalide à 60% au moins, à une demi-rente s’il est invalide à 50% au moins, ou à un quart de rente s’il est invalide à 40% au moins (art. 28 al. 1 LAI dans sa teneur en vigueur du 1er janvier 2004 au 31 décembre 2007 et art. 28 al. 2 LAI depuis le 1er janvier 2008). c) Le droit à la rente prend naissance au plus tôt à la date à partir de laquelle l'assuré présente une incapacité de gain durable de 40 % au moins (art. 29 al. 1 let. a LAI dans sa version en vigueur jusqu’au 31 janvier 2007) ou à partir de laquelle il a présenté, en moyenne, une incapacité de travail de 40 % au moins pendant une</w:t>
      </w:r>
    </w:p>
    <w:p>
      <w:r>
        <w:t>A/3145/2008 - 7/13 - année sans interruption notable (art. 29 al. 1 let. b LAI dans sa version en vigueur jusqu’au 31 janvier 2007).</w:t>
      </w:r>
    </w:p>
    <w:p>
      <w:r>
        <w:rPr>
          <w:b/>
        </w:rPr>
        <w:t>E. 6</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c)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A/3145/2008 - 8/13 - d)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une hiérarchie entre les divers types d'expertises médicales (cf. arrêt du Tribunal fédéral non publié du 15 septembre 2008, 9C_885/2007, consid. 3.2). e) Enfin,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En l’espèce le recourant souffre de douleurs lombaires persistantes, présentes depuis plusieurs années, mais s’étant intensifiées depuis le mois de mai 2005, suite à une chute sur le dos. Au terme d’un examen clinique rhumatologique, le Dr Q_______, rhumatologue au SMR, a retenu le diagnostic de lombalgies chroniques, non déficitaires, dans un contexte de discopathie L3-4 et de troubles dégénératifs postérieurs ; il n’y avait pas de syndrome rachidien, ni de sciatalgie irritative et de douleurs segmentaires. Ce médecin a aussi observé un comportement algique marqué lors de l’examen et une discordance importante dans les allégations de l’assuré (cf. rapport du Dr Q_______ du 28 avril 2008, p. 6).</w:t>
      </w:r>
    </w:p>
    <w:p>
      <w:r>
        <w:t>A/3145/2008 - 9/13 - S’agissant des répercussions de ces affections sur la capacité de travail, le Dr Q_______ a estimé que, compte tenu des troubles dégénératifs observés, l’ancienne activité d’aide-fondeur n’était plus exigible, dès lors qu’il s’agissait d’un travail contraignant physiquement, effectué en station debout, avec des ports de charges répétés allant jusqu’à une trentaine de kg. En revanche, dans une activité sédentaire adaptée, permettant d’éviter le travail en porte-à-faux, des flexions-extensions répétées, le port de charges supérieures à 10 kg, la position statique prolongée assise au-delà d’une heure et debout au-delà de 30 minutes, la capacité de travail était entière. Le recourant conteste les conclusions du Dr Q_______. Il est selon lui contradictoire de conclure à l’absence de gravité des troubles lombaires observés, tout en admettant la nature dégénérative objectivée à l’examen radiologique. Il estime également qu’il n’existerait pas d’activité adaptée à son état de santé. Le Tribunal de céans observe à cet égard que les constatations cliniques du Dr Q_______ concordent en substance avec celles du Dr L_________, rhumatologue, qui avait examiné l’assuré en janvier 2006 à la demande de l’assureur-maladie. Selon ce praticien, l’assuré souffrait de lombalgies chroniques non spécifiques, sur une ébauche de discopathie L3-4 ; le Dr L_________ avait exclu la présence d’une atteinte rachidienne inflammatoire, d’un syndrome vertébral lombaire ou d’une atteinte neurologique. Il avait aussi observé, à l’instar du Dr Q_______, des signes de surcharge dénotant un seuil de la douleur abaissé, une discordance algo- fonctionnelle et un dysfonctionnement dans la collaboration. Quant aux répercussions des affections observées sur la capacité de travail, le Dr L_________ avait même estimé qu’après rééducation, l’assuré devait être en mesure de reprendre à 100% l’ancienne activité d’aide fondeur; a fortiori, ce médecin admettait donc que l’exercice à plein temps d’une activité sédentaire plus légère était possible. Les conclusions du Dr L_________ corroborent ainsi celles du Dr Q_______, dans la mesure où elles vont encore plus loin. L’avis du Dr N_______, médecin traitant (rapports du 13 septembre 2006 et du 28 novembre 2007), n’est pas susceptible de remettre en cause les conclusions du Dr Q_______ sur la capacité résiduelle de travail, ce d’autant moins que les conclusions de ce dernier sont corroborées par l’expertise rhumatologique ordonnée par l’assureur-maladie. En effet, les deux rapports du médecin traitant, qui attestent d’une capacité de travail nulle dans toute activité, ne sont pas probants faute de motivation, d’autant moins que le Dr N_______ n’est pas rhumatologue mais généraliste et qu’en sa qualité de médecin traitant il peut être enclin, en cas de doute, à prendre parti pour son patient en raison de la relation de confiance qui l'unit à ce dernier (ATF 125 V 351 consid. 3a p. 352, 122 V 157 consid. 1c et les</w:t>
      </w:r>
    </w:p>
    <w:p>
      <w:r>
        <w:t>A/3145/2008 - 10/13 - références p. 160). Quant au rapport de sortie du service de rééducation des HUG du 30 octobre 2006, il n’est d’aucun secours dès lors qu’il fait état d’une capacité de travail à la sortie de « 00% », ce qui signifie selon toute vraisemblance 100%, au vu de la bonne évolution de l'état de santé du recourant pendant son séjour dans ce service. Au vu de ce qui précède, il y a lieu de se rallier aux conclusions du Dr Q_______, qui revêtent pleine une valeur probante, et de reconnaître que le recourant présente une capacité de travail entière dans une activité adaptée, au plus tard dès le 1er mai 2006 (cf. conclusions du Dr L_________ s’agissant de la reprise de son ancienne activité).</w:t>
      </w:r>
    </w:p>
    <w:p>
      <w:r>
        <w:rPr>
          <w:b/>
        </w:rPr>
        <w:t>E. 8</w:t>
      </w:r>
    </w:p>
    <w:p>
      <w:r>
        <w:t>La mise en œuvre d’investigations médicales supplémentaires, notamment d’une nouvelle expertise rhumatologique, telle que sollicitée par le recourant, n’apparaît par ailleurs pas justifiée, dans la mesure où le dossier médical comprend déjà deux expertises rhumatologiques, établies à deux ans d’intervalle, dont les conclusions sont superposables, s’agissant de l’exigibilité de l'exercice d’un travail à plein temps, à tout le moins dans une activité adaptée.</w:t>
      </w:r>
    </w:p>
    <w:p>
      <w:r>
        <w:rPr>
          <w:b/>
        </w:rPr>
        <w:t>E. 9</w:t>
      </w:r>
    </w:p>
    <w:p>
      <w:r>
        <w:t>Il reste à déterminer si le recourant subit une perte de gain en mettant pleinement à profit sa capacité résiduelle de travail dans une activité adaptée.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dans la teneur en vigueur jusqu’au 31 décembre 2007 en corrélation avec l'art. 16 LPGA). Pour procéder à la comparaison des revenus selon l'art. 28 al. 2 LAI et 16 LPGA, il convient de se placer au moment de la naissance du droit à une éventuelle rente de l'assurance-invalidité, soit au plus tôt en 2006, à savoir une année après le début de l’incapacité de travail significative (qui a débuté le 10 mai 2005 ; art. 29 al. 1 let. b LAI). Les revenus avec et sans invalidité doivent être déterminés par rapport à un même moment et les modifications de ces revenus survenues jusqu'au moment où la décision est rendue doivent être prises en compte, dans la mesure où elles sont susceptibles d'influencer le droit à la rente.</w:t>
      </w:r>
    </w:p>
    <w:p>
      <w:r>
        <w:rPr>
          <w:b/>
        </w:rPr>
        <w:t>E. 10</w:t>
      </w:r>
    </w:p>
    <w:p>
      <w:r>
        <w:t>a) En l’espèce, s’agissant du revenu sans invalidité, il ressort du questionnaire pour l’employeur rempli le 4 septembre 2006, que le recourant aurait réalisé en 2006,</w:t>
      </w:r>
    </w:p>
    <w:p>
      <w:r>
        <w:t>A/3145/2008 - 11/13 - sans atteinte à la santé, un salaire horaire de 23 fr. 65. Compte tenu d’un horaire de travail de 45 heures par semaine (cf. déclaration de sinistre LAA et maladie), le revenu hebdomadaire était de 1'064 fr. 25, soit 55'341 fr. (une année comprenant 52 semaines). b) S’agissant du revenu d’invalide, il ressort des éléments du dossier que le recourant n’a pas repris le travail après l’accident du 10 mai 2005. Ainsi, le revenu d'invalide est à évaluer sur la base des salaires statistiques résultant des Enquêtes sur la structure des salaires (ESS), publiées par l'Office fédéral de la statistique (cf. ATF non publié I 157/04, du 22 décembre 2004 consid. 1.4 ; ATF 126 V 76 consid. 3b/aa et bb). En règle générale, il convient de se fonder sur les salaires mensuels indiqués dans la table ESS TA1, à la ligne « total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et les références citées). Selon les données statistiques, le revenu mensuel en 2006, pour un homme exerçant une activité simple et répétitive (niveau 4) était de 4'732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adaptées au handicap du recourant. Comme les salaires bruts standardisés tiennent compte d'un horaire de travail de 40 heures, soit d'une durée hebdomadaire inférieure à la moyenne usuelle dans les entreprises en 2006 (41,7 heures; La Vie économique, 7-8/2007, p. 90, B9.2), ce montant doit être porté à 4'933 fr. 10 par mois (4'732 x 41.7 :40), soit 59'197 fr. 30 par an.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En l’espèce, compte tenu des limitations fonctionnelles constatées médicalement et de l’âge de l’assuré, l’OCAI a pris en compte un abattement de</w:t>
      </w:r>
    </w:p>
    <w:p>
      <w:r>
        <w:t>A/3145/2008 - 12/13 - 15%, qui apparaît en l’espèce justifié. Le revenu annuel raisonnablement exigible se monte dès lors à 50'318 fr. d) Le recourant présente ainsi un degré d’invalidité arrondi de 9% ([55'341 fr. – 50'318 fr.] : 55’341 x 100 = 9,07%), ce qui n’est pas suffisant pour ouvrir le droit à une rente. Il convient d’observer que même avec un abattement maximal de 25% sur le revenu d’invalide (44'398 fr), ce qui serait disproportionné en l’espèce, le degré d’invalidé serait de toute manière inférieur à 40% (19,77%).</w:t>
      </w:r>
    </w:p>
    <w:p>
      <w:r>
        <w:rPr>
          <w:b/>
        </w:rPr>
        <w:t>E. 11</w:t>
      </w:r>
    </w:p>
    <w:p>
      <w:r>
        <w:t>S’agissant de l’octroi d’éventuelles mesures professionnelles, le Tribunal de céans observe que la mise en place d’un reclassement ne serait en l’espèce pas justifiée, - indépendamment de la réalisation de la condition d’un degré d’invalidité d’environ 20% -, et ce d’une part en raison de l’âge du recourant (58 ans au moment de la décision litigieuse) et d’autre part en raison du fait que les activités simples et répétitives qu’il est susceptible d’exercer ne requièrent pas de formation particulière si ce n’est une mise au courant pratique en entreprise. Quant à la demande d’aide au placement formulée par le recourant dans son recours, il convient d’observer que la décision entreprise lui confère expressément la possibilité de réclamer cette mesure et qu’il lui appartient par conséquent d’en faire la demande à l’intimé.</w:t>
      </w:r>
    </w:p>
    <w:p>
      <w:r>
        <w:rPr>
          <w:b/>
        </w:rPr>
        <w:t>E. 12</w:t>
      </w:r>
    </w:p>
    <w:p>
      <w:r>
        <w:t>Au vu de ce qui précède, le recours sera rejeté.</w:t>
      </w:r>
    </w:p>
    <w:p>
      <w:r>
        <w:rPr>
          <w:b/>
        </w:rPr>
        <w:t>E. 13</w:t>
      </w:r>
    </w:p>
    <w:p>
      <w:r>
        <w:t>Le recourant étant au bénéfice de l'assistance juridique, il est dispensé du paiement de l'émolument de justice (art. 12 al. 1 du règlement cantonal sur les frais, émoluments et indemnités en procédure administrative du 30 juillet 1986).</w:t>
      </w:r>
    </w:p>
    <w:p>
      <w:r>
        <w:t>A/3145/2008 - 13/13 -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