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ATAS/175/2026 vom 5. März 2026</w:t>
      </w:r>
    </w:p>
    <w:p>
      <w:r>
        <w:t>GE Cour de justice, 2026-03-05, FR</w:t>
      </w:r>
    </w:p>
    <w:p>
      <w:r>
        <w:rPr>
          <w:b/>
        </w:rPr>
        <w:t xml:space="preserve">Quelle: </w:t>
      </w:r>
      <w:r>
        <w:t>https://mcp.opencaselaw.ch/entscheid/ge_gerichte_ATAS_175_2026</w:t>
      </w:r>
    </w:p>
    <w:p>
      <w:r>
        <w:t>FR: GE_GERICHTE ATAS/175/2026 du 5 mars 2026</w:t>
      </w:r>
    </w:p>
    <w:p>
      <w:r>
        <w:t>IT: GE_GERICHTE ATAS/175/2026 del 5 marzo 2026</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1.2</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 Interjeté dans les forme et délai prévus par la loi, le recours est recevable (art. 56 ss LPGA et 38A LAF).</w:t>
      </w:r>
    </w:p>
    <w:p>
      <w:r>
        <w:t>A/220/2026 - 3/4 -</w:t>
      </w:r>
    </w:p>
    <w:p>
      <w:r>
        <w:rPr>
          <w:b/>
        </w:rPr>
        <w:t>E. 2</w:t>
      </w:r>
    </w:p>
    <w:p>
      <w:r>
        <w:t>Conformément à l’art. 56 al. 2 LPGA, un recours peut être formé lorsque l'assureur, malgré la demande de l'intéressé, ne rend pas de décision ou de décision sur opposition.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transmis à l'autorité compétente, est recevable.</w:t>
      </w:r>
    </w:p>
    <w:p>
      <w:r>
        <w:rPr>
          <w:b/>
        </w:rPr>
        <w:t>E. 3</w:t>
      </w:r>
    </w:p>
    <w:p>
      <w:r>
        <w:t>Lorsqu'il existe un intérêt actuel au recours au moment où celui-ci est formé, mais qu'il tombe ultérieurement en cours de procédure, le recours pour déni de justice doit être déclaré sans objet et rayé du rôle (ATF 125 V 373 consid. 1). En l'occurrence, au vu de la décision rendue le 30 janvier 2026 par l'intimée, le recours pour déni de justice est devenu sans objet, de sorte qu'il convient de rayer la cause du rôle. Les autres conclusions prises par le recourant, notamment le versement immédiat des allocations familiales courantes et arriérées, la condamnation au versement d’intérêts, et les dommages et intérêts au sens de l’art. 41 CO, sont irrecevables, dans la mesure où le chambre de céans ne peut pas statuer sur le fond d’un litige qui n’a pas encore été tranché par l’intimée dans une décision sur opposition.</w:t>
      </w:r>
    </w:p>
    <w:p>
      <w:r>
        <w:rPr>
          <w:b/>
        </w:rPr>
        <w:t>E. 4</w:t>
      </w:r>
    </w:p>
    <w:p>
      <w:r>
        <w:t>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vertu de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135 V 473 consid. 3.3 ; arrêt du Tribunal fédéral 9C_62/2015 du 20 novembre 2015 consid. 6.2).</w:t>
      </w:r>
    </w:p>
    <w:p>
      <w:r>
        <w:t>A/220/2026 - 4/4 - Compte tenu de la nature du litige limité au déni de justice et du nombre d'activités afférentes à la procédure, les dépens seront en l'occurrence fixés à CHF 500.-.</w:t>
      </w:r>
    </w:p>
    <w:p>
      <w:r>
        <w:rPr>
          <w:b/>
        </w:rPr>
        <w:t>E. 5</w:t>
      </w:r>
    </w:p>
    <w:p>
      <w:r>
        <w:t>Eu égard à ce qui précède, le recours sera déclaré sans objet et la cause rayée du rôle (art. 89 de la loi sur la procédure administrative du 12 septembre 1985 [E 5 10]), décision que le juge peut prendre seul en application de l'art. 133 al. 4 let. a de la loi sur l’organisation judiciaire du 26 septembre 2010 (E 2 05). Pour le surplus,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