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ATAS/175/2022 vom 28. Februar 2022</w:t>
      </w:r>
    </w:p>
    <w:p>
      <w:r>
        <w:t>GE Cour de justice, 2022-02-28, FR</w:t>
      </w:r>
    </w:p>
    <w:p>
      <w:r>
        <w:rPr>
          <w:b/>
        </w:rPr>
        <w:t xml:space="preserve">Quelle: </w:t>
      </w:r>
      <w:r>
        <w:t>https://mcp.opencaselaw.ch/entscheid/ge_gerichte_ATAS_175_2022</w:t>
      </w:r>
    </w:p>
    <w:p>
      <w:r>
        <w:t>FR: GE_GERICHTE ATAS/175/2022 du 28 février 2022</w:t>
      </w:r>
    </w:p>
    <w:p>
      <w:r>
        <w:t>IT: GE_GERICHTE ATAS/175/2022 del 28 febbraio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w:t>
      </w:r>
    </w:p>
    <w:p>
      <w:r>
        <w:t>A/3559/2021 - 4/9 - d’exécution fédérales et cantonales, ainsi que la LPGA et ses dispositions d’exécution, sont applicables par analogie en cas de silence de la législation cantonale (art. 1A LPCC).</w:t>
      </w:r>
    </w:p>
    <w:p>
      <w:r>
        <w:rPr>
          <w:b/>
        </w:rPr>
        <w:t>E. 3</w:t>
      </w:r>
    </w:p>
    <w:p>
      <w:r>
        <w:t>Le délai de recours est de trente jours (art. 60 al. 1 LPGA; art. 43 LPCC; art. 62 al. 1 let. a de la loi sur la procédure administrative du 12 septembre 1985 [LPA-GE - E 5 10] et art. 43 LPCC). 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w:t>
      </w:r>
    </w:p>
    <w:p>
      <w:r>
        <w:rPr>
          <w:b/>
        </w:rPr>
        <w:t>E. 4</w:t>
      </w:r>
    </w:p>
    <w:p>
      <w:r>
        <w:t>Le litige porte sur le droit du recourant de bénéficier d’une remise de l’obligation de restituer la somme de CHF 76'141.- à l’intimé.</w:t>
      </w:r>
    </w:p>
    <w:p>
      <w:r>
        <w:rPr>
          <w:b/>
        </w:rPr>
        <w:t>E. 5</w:t>
      </w:r>
    </w:p>
    <w:p>
      <w:r>
        <w:t>S'agissant des prestations complémentaires fédérales, 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w:t>
      </w:r>
    </w:p>
    <w:p>
      <w:r>
        <w:rPr>
          <w:b/>
        </w:rPr>
        <w:t>E. 5.1</w:t>
      </w:r>
    </w:p>
    <w:p>
      <w:r>
        <w:t>Au niveau cantonal, l'art. 24 al. 1 1ère phrase LPCC prévoit que les prestations indûment touchées doivent être restituées. La restitution ne peut être exigée lorsque l'intéressé était de bonne foi et qu'elle le mettrait dans une situation difficile.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w:t>
      </w:r>
    </w:p>
    <w:p>
      <w:r>
        <w:t>A/3559/2021 - 5/9 - personnes mentionnées à l'art. 2 OPGA appliqué par analogie (al. 1). Il fixe l'étendue de l'obligation de restituer par décision (al. 2).</w:t>
      </w:r>
    </w:p>
    <w:p>
      <w:r>
        <w:rPr>
          <w:b/>
        </w:rPr>
        <w:t>E. 5.2</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w:t>
      </w:r>
    </w:p>
    <w:p>
      <w:r>
        <w:t>A/3559/2021 - 6/9 -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 La condition de la bonne foi a notamment été niée dans le cas d’un bénéficiaire de prestations complémentaires qui avait passé sous silence l’augmentation du revenu de son épouse (arrêt du Tribunal fédéral des assurances P 17/03 du 3 février 2004 consid. 4.1) ou dans celui d’un assuré qui n’avait pas communiqué les revenus liés à sa nouvelle activité salariée (arrêt du Tribunal fédéral des assurances P 32/06 du 14 novembre 2006 consid. 4.3.). De jurisprudence constante, la condition de la bonne foi doit être réalisée dans la période pendant laquelle ont été versées les prestations indues dont la restitution est exigée (arrêt du Tribunal fédéral 8C_766/2007 du 17 avril 2008 consid. 4.1 et les références citées). En règle générale, les bénéficiaires peuvent se prévaloir de leur bonne foi lorsqu’ils se sont conformés à leur obligation de renseigner ou d’annoncer et à leurs autres devoir légaux de collaboration (Ulrich MEYER- BLASER, Die Rückerstattung von Sozial-versicherungsleistungen, ZBJV 1995 p. 481).</w:t>
      </w:r>
    </w:p>
    <w:p>
      <w:r>
        <w:rPr>
          <w:b/>
        </w:rPr>
        <w:t>E. 6</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w:t>
      </w:r>
    </w:p>
    <w:p>
      <w:r>
        <w:t>A/3559/2021 - 7/9 -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ATF 122 V 162 consid. 1d).</w:t>
      </w:r>
    </w:p>
    <w:p>
      <w:r>
        <w:rPr>
          <w:b/>
        </w:rPr>
        <w:t>E. 7</w:t>
      </w:r>
    </w:p>
    <w:p>
      <w:r>
        <w:t>En l’espèce, lors de la préparation et du dépôt de sa demande de prestations complémentaires en juillet 2005, le recourant était âgé de 67 ans. Il était en outre assisté et représenté par une fiduciaire. Dans le formulaire relatif à sa situation, il a barré la rubrique « autres rentes en provenance de l’étranger ». Quant aux revenus de son épouse, il les a déclarés à hauteur de CHF 31'201.-. Par la suite, il a reçu chaque année, en annexe à la décision d’octroi de prestations complémentaires, le calcul détaillé sur la base duquel était établi son droit aux prestations, notamment les revenus pris en compte, ainsi qu’un document intitulé « communication importante » rappelant l’obligation de signaler tous changements intervenus dans la situation financière et invitant notamment « à contrôler attentivement » (mis en évidence dans le document lui-même) les montants figurant dans la décision la plus récente afin de s’assurer qu’ils correspondent bien à la situation réelle. Les mêmes éléments ont encore été explicitement rappelés au recourant dans la décision sur demande de remise du SPC du 24 avril 2014 faisant suite à son annonce tardive (avec quatre mois de retard) de l’interruption de ses études par sa fille majeure. Sa bonne foi était en l’espèce reconnue, vu notamment le court délai entre la fin des études et son annonce. Malgré ces informations, le recourant n’a informé l’intimé d’aucun changement dans sa situation jusqu’à la révision périodique d’octobre 2018, à nouveau déposée par sa fiduciaire. Si la rubrique « ressources » du formulaire de révision n’est pas même remplie, les justificatifs joints à la demande laissent apparaître que les revenus de l’épouse du recourant ont radicalement augmenté depuis 2005 (et ont pratiquement doublé certaines années) et qu’il touche en outre au Portugal une rente annuelle de vieillesse oscillant entre CHF 4'000.- et CHF 6'000.- depuis plusieurs années également, soit des modifications significatives. Au vu de ces éléments, il y a lieu de considérer que le comportement du recourant constitue pour le moins une violation grave de l'obligation d'annoncer et de renseigner. L’ampleur des changements économiques et la persistance des</w:t>
      </w:r>
    </w:p>
    <w:p>
      <w:r>
        <w:t>A/3559/2021 - 8/9 - manquements à l’obligation de les annoncer participent à conférer à ses omissions un caractère pour le moins sérieux, incompatible avec la reconnaissance du critère de la bonne foi. Ses arguments à teneur desquels il estimait que les revenus de son épouse étaient communiqués à l’intimé par l’AFC et que sa rente de vieillesse portugaise n’avait pas à être annoncée, dans la mesure où elle était déclarée au Portugal ne permettent pas d’aboutir à un autre résultat, dans la mesure où ils sont éloignés de ce qui peut raisonnablement être exigé d'une personne capable de discernement dans une situation identique et dans les mêmes circonstances. C’est d’autant moins le cas que le recourant était âgé de seulement 67 ans au moment du dépôt de sa première demande et qu’il était déjà assisté d’une fiduciaire.</w:t>
      </w:r>
    </w:p>
    <w:p>
      <w:r>
        <w:rPr>
          <w:b/>
        </w:rPr>
        <w:t>E. 7.1</w:t>
      </w:r>
    </w:p>
    <w:p>
      <w:r>
        <w:t>La bonne foi du recourant devant être niée, la chambre de céans ne donnera pas suite, par appréciation anticipée des preuves, à la requête du recourant tendant à son audition et à celle de son épouse.</w:t>
      </w:r>
    </w:p>
    <w:p>
      <w:r>
        <w:rPr>
          <w:b/>
        </w:rPr>
        <w:t>E. 8</w:t>
      </w:r>
    </w:p>
    <w:p>
      <w:r>
        <w:t>Le recourant a allégué dans ses écritures que le revenu disponible du couple ne lui permettait pas le remboursement de la somme réclamée. Il a produit diverses pièces relatives aux frais du ménage. Il convient toutefois de rappeler que la remise de l’obligation de restituer ne peut être accordée que si les deux conditions cumulatives de la bonne foi et de la situation financière difficile sont réalisées. Dans le cas présent, la négligence grave dont a fait preuve le recourant excluant sa bonne foi, il n’y a pas lieu d’analyser la deuxième condition.</w:t>
      </w:r>
    </w:p>
    <w:p>
      <w:r>
        <w:rPr>
          <w:b/>
        </w:rPr>
        <w:t>E. 9</w:t>
      </w:r>
    </w:p>
    <w:p>
      <w:r>
        <w:t>Partant, le recours est rejeté.</w:t>
      </w:r>
    </w:p>
    <w:p>
      <w:r>
        <w:rPr>
          <w:b/>
        </w:rPr>
        <w:t>E. 10</w:t>
      </w:r>
    </w:p>
    <w:p>
      <w:r>
        <w:t>La procédure est gratuite (art. 61 let. f bis LPGA a contrario).</w:t>
      </w:r>
    </w:p>
    <w:p>
      <w:r>
        <w:t>A/3559/2021 - 9/9 -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