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ATAS/175/2019 vom 28. Februar 2019</w:t>
      </w:r>
    </w:p>
    <w:p>
      <w:r>
        <w:t>GE Cour de justice, 2019-02-28, FR</w:t>
      </w:r>
    </w:p>
    <w:p>
      <w:r>
        <w:rPr>
          <w:b/>
        </w:rPr>
        <w:t xml:space="preserve">Quelle: </w:t>
      </w:r>
      <w:r>
        <w:t>https://mcp.opencaselaw.ch/entscheid/ge_gerichte_ATAS_175_2019</w:t>
      </w:r>
    </w:p>
    <w:p>
      <w:r>
        <w:t>FR: GE_GERICHTE ATAS/175/2019 du 28 février 2019</w:t>
      </w:r>
    </w:p>
    <w:p>
      <w:r>
        <w:t>IT: GE_GERICHTE ATAS/175/2019 del 28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était fondé de refuser d’entrer en matière sur la nouvelle demande de prestations du recourant. Il sied de déterminer en particulier si le recourant a rendu plausible une aggravation de son état de santé.</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w:t>
      </w:r>
    </w:p>
    <w:p>
      <w:r>
        <w:t>A/3476/2018 - 6/9 -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w:t>
      </w:r>
    </w:p>
    <w:p>
      <w:r>
        <w:t>A/3476/2018 - 7/9 -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le recourant a annexé à sa dernière demande uniquement le rapport de consultation du 31 juillet 2017 des Drs H______ et I______, ainsi que les certificats d’incapacité de travail dès le 10 avril 2017 pour les mois de septembre à novembre 2017. Selon ce rapport, le recourant présente essentiellement une gonarthrose tricompartimentale secondaire et souffre à nouveau de douleurs depuis quelques mois nécessitant une physiothérapie ciblée et éventuellement des infiltrations. Les médecins ont par ailleurs recommandé un changement d’activité, le travail de serveur n’étant pas adapté. Or, une gonarthrose a déjà été constatée lors de la précédente demande de prestations du recourant, par la Dresse C______ du SMR et le Dr E______, dans son expertise du 27 avril 2011. Au demeurant, ce dernier médecin a qualifié l’arthrose d’importante. La capacité de travail était nulle dans l’activité de chauffeur-déménageur, mais entière depuis le mois de mai 2001 dans une activité professionnelle légère, plutôt sédentaire et permettant d’alterner les positions assise et debout, sans port de charges supérieur à 5-10 kg, la marche prolongée et en terrain inégal, la position accroupie, la montée et la descente d’escaliers de manière répétitive, ainsi que des activités répétitives et de force en flexion-extension des poignets. Comme le SMR l’a constaté dans son avis du 12 juin 2018, les limitations fonctionnelles, consistant dans l’épargne du membre inférieur droit, restent d’actualité. Cependant, elles ne sont pas respectées dans l’activité de serveur que le recourant a exercée depuis 2009. Ainsi, même si la problématique dégénérative du genou droit a pu engendrer une incapacité de travail totale dans toute activité en raison d’un travail non conforme aux limitations fonctionnelles, cette incapacité de travail ne peut en principe être considérée comme durable dans une activité adaptée. En effet, le recourant lui-même a noté que ses douleurs se sont améliorées depuis l’arrêt de travail et la mise au repos, comme cela est mentionné dans le rapport du 31 juillet 2017 des HUG.</w:t>
      </w:r>
    </w:p>
    <w:p>
      <w:r>
        <w:t>A/3476/2018 - 8/9 - Quant aux rapports médicaux supplémentaires produits par le recourant avec son recours, ils ne peuvent être pris en compte, dès lors qu’est déterminante la situation au moment où la décision a été rendue. En ce qui concerne l’état dépressif, il est de surcroît postérieur à la décision du 3 septembre 2018. Cela étant, il convient certes de constater que l’état du genou droit s’est provisoirement aggravé en avril 2017. Cependant, il ne peut être admis, sur la base du rapport du 31 juillet 2017 des HUG, que cette aggravation est durable et a une répercussion sur la capacité de travail dans une activité légère, principalement assise. Partant, c’est à raison que l’intimé a constaté que le recourant n’a pas rendu plausible une aggravation de son état de santé.</w:t>
      </w:r>
    </w:p>
    <w:p>
      <w:r>
        <w:rPr>
          <w:b/>
        </w:rPr>
        <w:t>E. 6</w:t>
      </w:r>
    </w:p>
    <w:p>
      <w:r>
        <w:t>Cela étant, le recours sera rejeté.</w:t>
      </w:r>
    </w:p>
    <w:p>
      <w:r>
        <w:rPr>
          <w:b/>
        </w:rPr>
        <w:t>E. 7</w:t>
      </w:r>
    </w:p>
    <w:p>
      <w:r>
        <w:t>Le recourant plaidant au bénéfice de l’assistance juridique, il sera renoncé à percevoir un émolument de justice.</w:t>
      </w:r>
    </w:p>
    <w:p>
      <w:r>
        <w:t>***</w:t>
      </w:r>
    </w:p>
    <w:p>
      <w:r>
        <w:t>A/3476/2018 - 9/9 -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