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ATAS/175/2017 vom 2. März 2017</w:t>
      </w:r>
    </w:p>
    <w:p>
      <w:r>
        <w:t>GE Cour de justice, 2017-03-02, FR</w:t>
      </w:r>
    </w:p>
    <w:p>
      <w:r>
        <w:rPr>
          <w:b/>
        </w:rPr>
        <w:t xml:space="preserve">Quelle: </w:t>
      </w:r>
      <w:r>
        <w:t>https://mcp.opencaselaw.ch/entscheid/ge_gerichte_ATAS_175_2017</w:t>
      </w:r>
    </w:p>
    <w:p>
      <w:r>
        <w:t>FR: GE_GERICHTE ATAS/175/2017 du 2 mars 2017</w:t>
      </w:r>
    </w:p>
    <w:p>
      <w:r>
        <w:t>IT: GE_GERICHTE ATAS/175/2017 del 2 marzo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4</w:t>
      </w:r>
    </w:p>
    <w:p>
      <w:r>
        <w:t>Le délai de recours est de 30 jours (art. 60 al. 1 LPGA). Interjeté dans la forme et le délai prévus par la loi, le recours est recevable, en vertu des art. 56 ss LPGA.</w:t>
      </w:r>
    </w:p>
    <w:p>
      <w:r>
        <w:rPr>
          <w:b/>
        </w:rPr>
        <w:t>E. 5</w:t>
      </w:r>
    </w:p>
    <w:p>
      <w:r>
        <w:t>Le litige porte sur le bien-fondé du rejet par l’intimé de la nouvelle demande de prestations du recourant. Se pose toutefois en premier lieu la question d’une éventuelle violation du droit d’être entendu du recourant.</w:t>
      </w:r>
    </w:p>
    <w:p>
      <w:r>
        <w:rPr>
          <w:b/>
        </w:rPr>
        <w:t>E. 6</w:t>
      </w:r>
    </w:p>
    <w:p>
      <w:r>
        <w:t>a. Le droit d’être entendu est une garantie constitutionnelle de caractère formel, dont la violation doit entraîner l’annulation de la décision attaquée, indépendamment des chances de succès du recourant sur le fond (ATF 127 V 437</w:t>
      </w:r>
    </w:p>
    <w:p>
      <w:r>
        <w:t>A/2108/2016 - 8/13 -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A cet égard, l'art. 57a al. 1 LAI prévoit en particulier que l'Office AI communique à l'assuré au moyen d'un préavis toute décision finale qu'il entend prendre au sujet d'une demande de prestation ou de la suppression d'une prestation déjà allouée. L’assuré a le droit d’être entendu, conformément à l’art. 42 LPGA. L’art. 73ter al. 1 du règlement du 17 janvier 1961 sur l’assurance-invalidité du 17 janvier 1961 (RAI - RS 831.201) précise que les parties peuvent faire part à l’office AI de leurs observations sur le préavis dans un délai de 30 jours. Ainsi,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arrêt 9C_115/2007 du 22 janvier 2008, consid. 5.2; Kieser, Das Verwaltungsverfahren in der Sozialversicherung, Zurich, 1999, nos 170 et 171; Kieser, ATSG Kommentar, Zurich, 2003, nos 7 et 8 ad art. 42 LPGA et les références). L’art. 38 LPGA dispose que si le délai, compté par jours ou par mois, doit être communiqué aux parties, il commence à courir le lendemain de la communication (al. 1er). b. En l’occurrence, on ignore quand précisément le projet de décision du 14 avril 2016 a été notifié au recourant. Si l’on admet qu’il lui est parvenu le lendemain, le délai pour faire part de ses observations a commencé à courir le 16 avril 2016, pour venir à échéance le 17 mai 2016. Prima facie, la décision formelle intervenue le 24 mai 2016 n’a donc pas été rendue prématurément. D’ailleurs, l’assuré avait eu le temps de s’opposer formellement au projet, par le biais de son conseil et par courrier du 10 mai. La loi ne prévoyant pas de prolongation du délai de 30 jours imposé, on ne saurait faire grief à l’intimé de n’avoir pas sursis à statuer formellement. c. Le recourant fait également grief à l'intimé de n'avoir pas suffisamment motivé sa décision. En vertu des art. 35 al. 1 et 61 al. 2 PA (applicables par le renvoi de l’art. 1er al. 3 PA lui-même applicable en vertu de l'art. 61 LPGA), les juridictions cantonales compétentes en matière d’assurances sociales sont tenues de motiver les décisions qu’elles rendent. Selon la jurisprudence (consid. 4 de l’arrêt A. du</w:t>
      </w:r>
    </w:p>
    <w:p>
      <w:r>
        <w:t>A/2108/2016 - 9/13 - 27 mars 2001, H 249/00 et H 256/00), les dispositions précitées ont la même portée que le droit d’obtenir une décision motivée, déduit du droit d’être entendu garanti à l’article 29 al. 2 Cst. En d’autres termes, l'autorité doit motiver ses décisions, mais n’a toutefois pas l’obligation d’exposer et de discuter tous les faits, moyens de preuve et griefs invoqués par les parties; elle peut au contraire se limiter à ceux qui peuvent être tenus pour pertinents. Il suffit, de ce point de vue, que les parties puissent se rendre compte de la portée de la décision prise à leur égard et, le cas échéant, recourir contre celle-ci en connaissance de cause (ATF 124 V 181 consid. 1a ; 124 II 149 consid. 2a et réf. citées). Tel est le cas en l'occurrence. L'intimé a en effet expliqué - certes de manière assez lapidaire - qu'il considérait qu’il n’y avait aucune atteinte à la santé invalidante. L'assuré était ainsi en position d'interjeter recours et de motiver ce dernier, ce qu’il a d’ailleurs fait. d. Il ressort de ce qui précède que l'on ne saurait annuler la décision litigieuse, étant rappelé que, selon un principe général, la nullité d'un acte commis en violation de la loi doit résulter ou bien d'une disposition légale expresse, ou bien du sens et du but de la norme en question (ATF 122 I 98 ss. consid. 3a ; Pra 2000 no 161 p. 972 ss. consid. 3a) et qu'en d'autres termes, il n'y a lieu d'admettre la nullité, hormis les cas expressément prévus par la loi, qu'à titre exceptionnel, lorsque les circonstances sont telles que le système d'annulabilité n'offre manifestement pas la protection nécessaire (cf. ATF 121 III 156 consid. 1). Il est encore utile de souligner que, d'après la jurisprudence, la nullité d'une décision n'est admise que si le vice dont elle est entachée est particulièrement grave en raison de l'importance de la norme violée,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129 I 363 sv. consid. 2 et 2.1 et les références). Ainsi que cela ressort des considérations qui précèdent, en l'espèce, nul vice d'une telle gravité n'a été mis en évidence. Qui plus est, comme l’intimé le relève à juste titre, la Cour de céans dispose d’un large pouvoir d’examen, de sorte que la possibilité offerte au recourant de s’exprimer pleinement dans le cadre de la présente procédure permet de considérer qu’une éventuelle violation de son droit d’être entendu a été réparée. Il convient dès lors de se pencher sur le fond du litige et d'examiner à présent si c’est à juste titre que l’intimé a rejeté la nouvelle demande du recourant.</w:t>
      </w:r>
    </w:p>
    <w:p>
      <w:r>
        <w:rPr>
          <w:b/>
        </w:rPr>
        <w:t>E. 7</w:t>
      </w:r>
    </w:p>
    <w:p>
      <w:r>
        <w:t>a. Lorsque la rente a été refusée parce que le degré d'invalidité était insuffisant, la nouvelle demande ne peut être examinée que si l'assuré rend plausible que son invalidité s'est modifiée de manière à influencer ses droits (art. 17 LPGA ; art. 87</w:t>
      </w:r>
    </w:p>
    <w:p>
      <w:r>
        <w:t>A/2108/2016 - 10/13 -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8</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A/2108/2016 - 11/13 - Est réputée invalidité l’incapacité de gain totale ou partielle présumée permanente ou de longue durée (art. 8 al. 1 LPGA et 4 al. 1 LAI).</w:t>
      </w:r>
    </w:p>
    <w:p>
      <w:r>
        <w:rPr>
          <w:b/>
        </w:rPr>
        <w:t>E. 9</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A/2108/2016 - 12/13 -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En l’espèce, la seconde demande de prestations, tout comme la première, est essentiellement motivée par l’état anxio-dépressif du recourant, lequel a cependant en outre été victime d’un infarctus dans l’intervalle. La question est de savoir si, depuis la décision de l’intimé du 9 février 2007, l’état de santé du recourant s’est aggravé au point de lui ouvrir droit aux prestations, plus particulièrement à une rente d’invalidité. Le recourant reproche en particulier à l’intimé de n’avoir pas suffisamment instruit son dossier. Selon lui, l’intimé ne pouvait « se borner à demander au Dr D______ de remplir un rapport médical » et se contenter d’un avis de son cardiologue. Force est de constater que le cardiologue a pourtant souligné à plusieurs reprises dans son rapport qu’il n’existait aucune limitation fonctionnelle du point de vue cardiovasculaire. On ne saurait dès lors faire grief au SMR d’avoir conclu qu’il n’y avait aucune aggravation de ce fait, d’autant qu’il est même allé au-delà des conclusions du cardiologue traitant et a retenu des limitations fonctionnelles dont il a constaté qu’elles n’avaient cependant aucun impact sur la profession habituelle de l’assuré. Dans ces circonstances, il n’y avait pas lieu à investigations supplémentaires sur ce plan. Quant aux troubles psychiques, il apparait que le psychiatre traitant était le mieux à même de répondre à la question d’une éventuelle aggravation. Or, loin de conclure en ce sens, le Dr D______ a fait état d’une stabilisation de l’état de son patient depuis dix ans. Par ailleurs, le diagnostic est le même que celui précédemment retenu par le psychiatre et écarté par deux experts. Dans la mesure où le psychiatre traitant n’amène aucun élément objectif à l’appui d’une éventuelle aggravation psychique, là encore, il n’y avait pas lieu à investiguer plus avant.</w:t>
      </w:r>
    </w:p>
    <w:p>
      <w:r>
        <w:t>A/2108/2016 - 13/13 - Au vu de ce qui précède, le recours est rejeté. Etant donné que depuis le 1er juillet 2006, la procédure n'est plus gratuite (art. 69 al. 1bis LAI), il y a lieu de condamner le recourant au paiement d'un émolument de CHF 200.-.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