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ATAS/175/2015 vom 9. März 2015</w:t>
      </w:r>
    </w:p>
    <w:p>
      <w:r>
        <w:t>GE Cour de justice, 2015-03-09, FR</w:t>
      </w:r>
    </w:p>
    <w:p>
      <w:r>
        <w:rPr>
          <w:b/>
        </w:rPr>
        <w:t xml:space="preserve">Quelle: </w:t>
      </w:r>
      <w:r>
        <w:t>https://mcp.opencaselaw.ch/entscheid/ge_gerichte_ATAS_175_2015</w:t>
      </w:r>
    </w:p>
    <w:p>
      <w:r>
        <w:t>FR: GE_GERICHTE ATAS/175/2015 du 9 mars 2015</w:t>
      </w:r>
    </w:p>
    <w:p>
      <w:r>
        <w:t>IT: GE_GERICHTE ATAS/175/2015 del 9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c'est à bon droit que l'OAI a nié toute invalidité au recourant au motif que la dépendance à l'alcool et au canabis dont il</w:t>
      </w:r>
    </w:p>
    <w:p>
      <w:r>
        <w:t>A/3023/2014 - 7/12 - souffre est primaire et ne constitue pas une atteinte à la santé ayant elle-même valeur de maladie invalidante, et s'il est parvenu à cette conclusion au terme d'une instruction complète prenant en compte tous les éléments médicaux pertinents.</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Selon l’art. 28 al. 1 LAI, l’assuré a droit à une rente aux conditions suivantes :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w:t>
      </w:r>
    </w:p>
    <w:p>
      <w:r>
        <w:rPr>
          <w:b/>
        </w:rPr>
        <w:t>E. 6</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Dans l’assurance-invalidité, l’instruction des faits d’ordre médical se fonde sur le rapport du médecin-traitant destiné à l’office de l’assurance-invalidité, les expertises de médecins indépendants de l’institution de l’assurance, les examens pratiqués par les centres d’observation médicale de l’assurance-invalidité (ATF 123 V 175), les expertises produites par une partie ainsi que les expertises médicales ordonnées par le juge (VSI 1997, page 318, consid. 3b ; BLANC, La procédure administrative en assurance invalidité, thèse Fribourg 1999, p. 142).</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w:t>
      </w:r>
    </w:p>
    <w:p>
      <w:r>
        <w:t>A/3023/2014 - 8/12 -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w:t>
      </w:r>
    </w:p>
    <w:p>
      <w:r>
        <w:t>A/3023/2014 - 9/12 - diminutions de la capacité de gain que l’assuré pourrait empêcher en faisant preuve de bonne volonté ; la mesure de ce qui est exigible doit être déterminée aussi objectivement que possible (ATF 102 V 165 ; VSI 2001, page 224 consid. 2b et les références ; cf. aussi ATF 127 V 298 consid. 4c in fine).</w:t>
      </w:r>
    </w:p>
    <w:p>
      <w:r>
        <w:rPr>
          <w:b/>
        </w:rPr>
        <w:t>E. 13</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op. cit., consid. 2.4).</w:t>
      </w:r>
    </w:p>
    <w:p>
      <w:r>
        <w:rPr>
          <w:b/>
        </w:rPr>
        <w:t>E. 14</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w:t>
      </w:r>
    </w:p>
    <w:p>
      <w:r>
        <w:t>A/3023/2014 - 10/12 -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15</w:t>
      </w:r>
    </w:p>
    <w:p>
      <w:r>
        <w:t>Dans le cas d'espèce, l'OAI a nié le droit aux mesures professionnelles et/ou à la rente d'invalidité, en se fondant sur l'avis du SMR du 8 avril 2014, basé sur ses propres constatations du 9 juillet 2013 et sur le résultat de l'expertise réalisée par le Dr D_____. Au vu des principes jurisprudentiels rappelés ci-dessus, la chambre des assurances sociales constate que l'expertise mise en place par l'intimé au stade de la procédure administrative a été confiée à un médecin indépendant. Elle a été établie par un spécialiste reconnu, sur la base d'observations approfondies et d'investigations complètes, ainsi qu'en pleine connaissance du dossier. Le rapport se fonde sur des examens complets, et prend également en considération les plaintes exprimées par l'expertisé, l'expert ayant examiné l'intéressé lors d'un entretien approfondi, et procédé à des examens spécifiques, l'expertise ayant été établie en pleine connaissance de l’anamnèse, après que l'expert s’est entretenu avec le psychiatre traitant. La description du contexte médical ne souffre pas de critiques. L'appréciation du cas et le pronostic tiennent compte de tous les éléments recueillis par l'expert, ce dernier ayant confronté ses propres constatations aux allégations de l'assuré, mettant en évidence certaines contradictions entre les déclarations de l'expertisé au sujet de sa consommation d'alcool et de cannabis, et le résultat des examens auxquels il avait procédé, expliquant de façon claire et convaincante, les raisons pour lesquelles il parvenait à des conclusions éventuellement différentes de celles des médecins traitants, mettant par exemple en évidence qu'au moment de l'examen il n'avait décelé aucuns troubles cognitifs au niveau de la mémoire, pas plus qu'au niveau de la concentration, mais plutôt une méfiance et une susceptibilité avec une certaine interprétativité. Il a démontré de façon convaincante la raison pour laquelle il parvenait à la conclusion qu'en l'absence de pathologie psychiatrique préalable, et vu l'origine de la consommation d'alcool et de cannabis du recourant, après son arrivée en Suisse, on devait considérer sa dépendance à l'alcool et au cannabis comme primaire, et non pas secondaire, mais également les raisons pour lesquelles on devait pouvoir exiger de l'assuré qu'il soit sevré de l'alcool et du cannabis ainsi que de prendre des médicaments psychotropes afin de retrouver une capacité de travail : l'assuré avait en effet subi avec succès son</w:t>
      </w:r>
    </w:p>
    <w:p>
      <w:r>
        <w:t>A/3023/2014 - 11/12 - sevrage lors de son séjour à la clinique de Montana, mais il s'était également abstenu de consommer de l'alcool lors de son séjour dans son pays natal, en 2013. Il s'est également prononcé sur toutes les questions qui étaient posées, et notamment expliqué les raisons pour lesquelles il estimait que des mesures de réinsertion professionnelle n'avaient guère de chance d'aboutir, dans le cas particulier de l'assuré, et enfin les raisons pour lesquelles on devait lui reconnaître une pleine capacité de travail dans ses activités précédentes comme dans toute activité adaptée. Ainsi, le rapport d'expertise revêt une pleine valeur probante. On relèvera aussi que les médecins traitants qui se sont prononcés après l'expertise, dans leurs écrits comme dans leurs déclarations en audience, s'agissant du Dr B______, n'ont guère critiqué l'expertise psychiatrique ordonnée par l'intimé, et encore moins apporté le moindre élément qui pourrait faire douter de la pleine valeur probante du rapport d'expertise. S'agissant du recourant, il n'a lui-même pas émis de critique au sujet de l'expertise, et encore moins fait état d'éléments objectivement vérifiables qui auraient été ignorés dans le cadre de l'expertise et qui soient suffisamment pertinents pour remettre en cause les conclusions de l'expert.</w:t>
      </w:r>
    </w:p>
    <w:p>
      <w:r>
        <w:rPr>
          <w:b/>
        </w:rPr>
        <w:t>E. 16</w:t>
      </w:r>
    </w:p>
    <w:p>
      <w:r>
        <w:t>En revanche, dans la mesure où l'administration, au moment de sa décision, doit prendre en compte tous les éléments et atteintes à la santé, dont elle a connaissance, et qui pourraient avoir une incidence sur une incapacité de travail, la chambre de céans, constatant qu'entre l'envoi du projet de décision, et le prononcé de celle-ci, l'assuré avait encore produit des documents faisant état d'atteintes somatiques, certes déjà connues, mais dont l'incidence pouvait ne pas avoir été prise en considération de manière adéquate par l'intimé s'il devait y avoir eu aggravation en cours de procédure administrative, elle a procédé à des enquêtes, en particulier à l'audition du médecin traitant du recourant, le Dr B______, en interrogeant ce dernier de façon très précise, sur cet aspect. Elle a de même interrogé le recourant sur ce sujet: il est apparu qu'en définitive, les atteintes somatiques décrites n'avaient effectivement aucune incidence sur une éventuelle invalidité, l'audition du médecin traitant et du recourant confirmant au contraire que le problème essentiel sinon exclusif de l'assuré relevait de sa dépendance à l'alcool.</w:t>
      </w:r>
    </w:p>
    <w:p>
      <w:r>
        <w:rPr>
          <w:b/>
        </w:rPr>
        <w:t>E. 17</w:t>
      </w:r>
    </w:p>
    <w:p>
      <w:r>
        <w:t>En conséquence, le recours en tous points mal fondé sera rejeté.</w:t>
      </w:r>
    </w:p>
    <w:p>
      <w:r>
        <w:rPr>
          <w:b/>
        </w:rPr>
        <w:t>E. 18</w:t>
      </w:r>
    </w:p>
    <w:p>
      <w:r>
        <w:t>Compte tenu de ce qui précède, le recours est rejeté. La procédure n’étant plus gratuite depuis le 1er juillet 2006 (art. 69 al. 1bis LAI), il y a lieu de condamner le recourant au paiement d’un émolument de CHF 200.-</w:t>
      </w:r>
    </w:p>
    <w:p>
      <w:r>
        <w:t>A/3023/2014 - 12/12 -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