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ATAS/175/2013 vom 18. Februar 2013</w:t>
      </w:r>
    </w:p>
    <w:p>
      <w:r>
        <w:t>GE Cour de justice, 2013-02-18, FR</w:t>
      </w:r>
    </w:p>
    <w:p>
      <w:r>
        <w:rPr>
          <w:b/>
        </w:rPr>
        <w:t xml:space="preserve">Quelle: </w:t>
      </w:r>
      <w:r>
        <w:t>https://mcp.opencaselaw.ch/entscheid/ge_gerichte_ATAS_175_2013</w:t>
      </w:r>
    </w:p>
    <w:p>
      <w:r>
        <w:t>FR: GE_GERICHTE ATAS/175/2013 du 18 février 2013</w:t>
      </w:r>
    </w:p>
    <w:p>
      <w:r>
        <w:t>IT: GE_GERICHTE ATAS/175/2013 del 18 febbraio 2013</w:t>
      </w:r>
    </w:p>
    <w:p>
      <w:pPr>
        <w:pStyle w:val="Heading2"/>
      </w:pPr>
      <w:r>
        <w:t>Erwägungen</w:t>
      </w:r>
    </w:p>
    <w:p>
      <w:r>
        <w:rPr>
          <w:b/>
        </w:rPr>
        <w:t>E. 1</w:t>
      </w:r>
    </w:p>
    <w:p>
      <w:r>
        <w:t>Conformément aux art. 134 al. 1 let. a ch. 3 et al. 3 let. a LOJ (RS E 2 05), la Cour de justice connaît en instance unique des contestations prévues à l’art. 56 de la loi fédérale sur la partie générale du droit des assurances sociales (LPGA; RS 830.1) relatives à la loi fédérale sur les prestations complémentaires à l’assurance- vieillesse, survivants et invalidité (LPC ; RS 831.30) ainsi que des contestations prévues à l'art. 43 de la loi cantonale sur les prestations cantonales complémentaires à l'assurance-vieillesse et survivants et à l'assurance-invalidité (LPCC; RS J 7 15). Sa compétence pour juger du cas d’espèce est ainsi établie. Formé dans le délai légal, transmis d'office par l'intimé à la Cour comme objet de sa compétence et complété dans le délai fixé par la Cour, le recours est recevable (art. 60 et 61 let. b LPGA).</w:t>
      </w:r>
    </w:p>
    <w:p>
      <w:r>
        <w:rPr>
          <w:b/>
        </w:rPr>
        <w:t>E. 2</w:t>
      </w:r>
    </w:p>
    <w:p>
      <w:r>
        <w:t>Le litige porte sur la question de savoir si l'intimé est fondé à réclamer la restitution des prestations perçues par la recourante entre 2007 et 2011. a. Aux termes de l'art. 25 al. 1er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Le délai de péremption absolu de cinq ans commence à courir à la date du versement effectif de la prestation (ATF 112 V 180 consid. 4a; 111 V 14 consid. 3). La remise de l'obligation de restituer des prestations indûment touchées ne peut pas être exigée lorsque l’intéressé était de bonne foi et qu’elle le mettrait dans une situation difficile (art. 25 al. 2 LPGA). La remise et son étendue font toutefois l'objet d'une procédure distincte de la restitution et n'intervient que lorsque la décision de restitution est entrée en force (ATF 132 V 42 consid. 1.2; ATF 8C_602/2007 du 13 décembre 2007; cf. art. 4 al. 2 OPGA).</w:t>
      </w:r>
    </w:p>
    <w:p>
      <w:r>
        <w:t>A/2695/2012 - 4/5 - b. La procédure de restitution a uniquement pour objet de rétablir la situation, afin que celle-ci soit conforme au droit. Sous cet angle, la décision de restitution ne souffre d'aucune critique. En particulier, les revenus et charges retenus par l'administration sont conformes aux pièces produites et aux dispositions régissant le droit aux prestations complémentaires cantonales et fédérales. La recourante ne soutient d'ailleurs pas que les montants retenus seraient inexacts. Elle allègue uniquement que, compte tenu des saisies dont elle a fait l'objet, ses revenus avaient, de fait, été moindres. Or, comme le relève à juste titre l'intimé, il n'appartient pas à la collectivité publique de couvrir les dettes des assurés, qui n'entrent pas dans les charges admissibles (loyer, charges locatives, besoins vitaux). La recourante ne fait pas valoir que l'emprunt contracté par son défunt mari aurait servi à couvrir de telles charges; aucun élément au dossier ne le rend d'ailleurs vraisemblable. L'intimé était ainsi fondé à ne pas tenir compte des saisies opérées sur les rentes LPP perçues par la recourante. Par ailleurs, l'intimé a agi dans le délai d'une année après avoir eu connaissance du fait que ses décisions précédentes étaient erronées et a limité ses prétentions en restitution aux cinq dernières années. La décision querellée doit donc être confirmée. Les conditions d'une remise, à savoir si la recourante était de bonne foi et si la restitution la mettrait dans une situation difficile, ne pourront être examinées que lorsque la présente décision sera entrée en force. La recourante ayant clairement exposé son souhait qu'une remise lui soit accordée, l'intimé est invité, dès l'entrée en force du présent arrêt, à en examiner les conditions. En conclusion, le recours est donc rejeté.</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