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ATAS/174/2018 vom 5. März 2018</w:t>
      </w:r>
    </w:p>
    <w:p>
      <w:r>
        <w:t>GE Cour de justice, 2018-03-05, FR</w:t>
      </w:r>
    </w:p>
    <w:p>
      <w:r>
        <w:rPr>
          <w:b/>
        </w:rPr>
        <w:t xml:space="preserve">Quelle: </w:t>
      </w:r>
      <w:r>
        <w:t>https://mcp.opencaselaw.ch/entscheid/ge_gerichte_ATAS_174_2018</w:t>
      </w:r>
    </w:p>
    <w:p>
      <w:r>
        <w:t>FR: GE_GERICHTE ATAS/174/2018 du 5 mars 2018</w:t>
      </w:r>
    </w:p>
    <w:p>
      <w:r>
        <w:t>IT: GE_GERICHTE ATAS/174/2018 del 5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A/3304/2016 - 14/26 -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26 août 2016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question de savoir si le recourant a droit à des prestations de l'assurance-invalidité en raison de ses atteintes à la santé.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A/3304/2016 - 15/26 -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w:t>
      </w:r>
    </w:p>
    <w:p>
      <w:r>
        <w:t>A/3304/2016 - 16/26 - l'alcoolisme, la pharmacomanie, la toxicomanie et pour les névroses (RCC 1992 p. 182 consid. 2a et les références; arrêt du Tribunal fédéral des assurances I 237/04 du 30 novembre 2004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w:t>
      </w:r>
    </w:p>
    <w:p>
      <w:r>
        <w:t>A/3304/2016 - 17/26 -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Si l’administration ou le juge, se fondant sur une appréciation consciencieuse des preuves fournies par les investigations auxquelles ils doivent procéder d’office, sont</w:t>
      </w:r>
    </w:p>
    <w:p>
      <w:r>
        <w:t>A/3304/2016 - 18/26 -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a. En l'occurrence, l'intimé a retenu dans sa décision litigieuse qu'en raison de ses atteintes à la santé, la capacité de travail du recourant est considérablement réduite depuis janvier 2013 (début du délai d'attente d'un an). Cela étant, dans une activité ne nécessitant ni ports de charges répétitifs de plus de huit-neuf kg, ni ports de charges occasionnels de plus de quinze-vingt kg, sa capacité de travail est entière. Le recourant soutient, quant à lui, que ses troubles l'empêchent d'exercer une activité adaptée à plein temps. b. Sur le plan somatique, à la demande de l'intimé, la Dresse E_____, spécialisée en médecine interne et rhumatologie auprès du BEM, a, par rapport du 11 mars 2015, diagnostiqué, avec répercussion sur la capacité de travail du recourant, des cervicalgies et lombalgies, ainsi qu’une spondylodiscarthrose étagée, sans myélopathie, ni radiculopathie. Sans répercussion sur sa capacité de travail, le recourant présentait notamment un syndrome de Poland probable associant une agénésie du grand pectoral, une hypotrophie mammaire, une micromélie homolatérale avec status après syndactylies, opérées durant l'enfance, un syndrome d'apnée du sommeil modéré et un glaucome. Les limitations fonctionnelles étaient : éviter le port de charges répétitifs supérieurs à huit-dix kg et occasionnels à quinze- vingt kg, éviter un travail en position statique exclusive, favoriser les activités avec changements de position. Une activité semi-sédentaire entrait en ligne de compte. L’ancienne activité d’agent de sécurité devant parcourir quinze à dix-huit km par jour apparaissait exigible à hauteur de 50%. Une activité adaptée était exigible à 100% depuis toujours, sans baisse de rendement, sous réserve d’une évaluation psychiatrique.</w:t>
      </w:r>
    </w:p>
    <w:p>
      <w:r>
        <w:t>A/3304/2016 - 19/26 - La chambre de céans constate que le rapport d'expertise de la Dresse E_____ se base sur des examens du recourant et sur son dossier médical. L'anamnèse est complète et les plaintes ont été prises en considération. Les descriptions et les appréciations de la situation médicale sont claires. L’expert a expliqué pour quelles raisons il retenait les diagnostics, ses conclusions sont cohérentes, convaincantes et ne laissent pas apparaître de contradictions. Le recourant conteste les conclusions de l’expertise, en soutenant qu'il ne peut exercer aucune activité adaptée à plein temps en raison de ses douleurs. Il se fonde pour cela sur les rapports de son médecin traitant, le Dr D______. A la lecture des pièces versées au dossier, la chambre de céans constate que dans son rapport du 8 juillet 2013, le Dr D______ n'a pas indiqué que le recourant était incapable de travailler dans toute activité. Dans son rapport du 14 novembre 2013, si le médecin traitant a noté que le recourant ne présente aucune capacité dans une activité adaptée, il n’a toutefois pas expliqué les raisons d’une telle incapacité. Dans ses rapports des 24 janvier 2014 et 10 juin 2015, le Dr D______ indique certes que la capacité de travail du recourant est nulle dans une activité strictement adaptée, en raison de la persistance des douleurs et des blocages à répétition. La chambre de céans relèvera que la Dresse E_____ a cependant dûment relevé que si les atteintes discales justifiaient des limitations fonctionnelles pour des métiers physiquement pénibles, elles n’expliquaient pas du tout le tableau douloureux dépassant le cadre nosologique rachidien. Ainsi, les constatations objectives ne permettaient pas d’expliquer l’état douloureux et l'impotence majeure évoquée au quotidien par le recourant. A cet égard, il n’avait pas contredit son épouse lorsqu’elle avait dit spontanément que pour elle il n’était pas tout le temps bloqué et qu’il n’avait pas tout le temps mal. Selon l'expert, l’habitus du recourant n’était pas celui d’un homme grabataire ne pouvant se tenir debout, ni assis, ni même trouver de position antalgique couchée. Le recourant n’était pas déconditionné comme on aurait pu s’attendre, à ce qu’il décrivait de sa vie quotidienne. Il était vif, tonique et d’allure dynamique (p. 29 du rapport du 11 mars 2015). On ajoutera que le dynamisme du recourant avait aussi été relevé lors du stage aux EPI : si le recourant avait montré souvent des difficultés positionnelles, il était plutôt une personne active, avec une certaine rapidité dans l'exécution des activités. S'il arrivait à faire abstraction de ses douleurs, il pouvait faire un travail de bonne facture. S'il en avait le droit, le recourant pouvait suivre sans autre une mise au courant en entreprise ou une formation pratique (rapport du 11 novembre 2013). Par ailleurs, la chambre de céans rappellera que le seul fait qu’un médecin traitant ait des opinions contradictoires ne saurait remettre en cause une expertise ordonnée par l’administration. De surcroît, il n’apparaît pas, en l'occurrence, que des éléments objectivement vérifiables aient été ignorés dans le cadre de l’expertise et qui seraient suffisamment pertinents pour remettre en cause les conclusions de l'expert. Qui plus est, aucun rapport versé au dossier n'en fait état.</w:t>
      </w:r>
    </w:p>
    <w:p>
      <w:r>
        <w:t>A/3304/2016 - 20/26 - Ainsi, la chambre de céans est d'avis qu'une nouvelle expertise,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du recourant doit être rejetée. Ainsi, il convient de retenir, au degré de la vraisemblance prépondérante, qu’en raison de ses troubles rachidiens, le recourant présente, depuis janvier 2013, une incapacité de travail à 50% dans son activité d’agent de sécurité devant parcourir quinze à dix-huit km par jour. Dans une activité adaptée évitant le port de charges répétitifs supérieurs à huit-dix kg et occasionnels à quinze-vingt kg, évitant un travail en position statique exclusive et favorisant les activités avec changements de positions, sa capacité de travail est entière depuis janvier 2013. On relèvera déjà que la décision litigieuse ne reprend pas, à tort, l’ensemble des limitations fonctionnelles retenues par la Dresse E_____. Par ailleurs, l’intimé est d’avis que l’activité d’agent de sécurité, exercée par le recourant au moment de la survenue de l’incapacité de travail durable, peut être effectuée à plein temps. La chambre de céans relèvera qu'il convient de se référer aux conclusions de la Dresse E_____, selon lesquelles l’ancienne activité d’agent de sécurité apparaissait exigible à la hauteur de 50% en raison des déplacements à pied sur quinze à dix-huit km par jour qui étaient contre-indiqués (pp. 30 et 31 du rapport du 11 mars 2015). A cet égard, on notera qu'il résulte en effet du formulaire signé par l'employeur le 21 juin 2013, que le recourant devait souvent marcher et être debout. L’intimé est également d’avis que le recourant possède une pleine capacité de travail en tant que chef magasinier. A cet égard, comme l'a indiqué la Dresse E_____, l’activité de chef magasinier dépend de l’entreprise : si les charges ne dépassent pas les limites données et que le recourant peut alterner les commandes en position assise avec du travail debout en déplacements, l’exigibilité est complète (p. 31 du rapport du 11 mars 2015). Par ailleurs, sur le plan somatique, le recourant fait valoir, dans son écriture du 2 décembre 2016, une aggravation de son état de santé.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t>A/3304/2016 - 21/26 - En l'occurrence, selon un rapport du 23 novembre 2016 du Dr I_____, le recourant s’est présenté le 18 novembre 2016 en raison d’une réduction de son champ visuel à gauche. Des investigations étaient en cours. Dans la mesure où une cette réduction du champ visuel est survenue en novembre 2016, soit postérieurement à la date de la décision litigieuse (le 26 août 2016), la chambre de céans retiendra que cette atteinte à la santé doit faire l'objet d'une nouvelle décision.</w:t>
      </w:r>
    </w:p>
    <w:p>
      <w:r>
        <w:rPr>
          <w:b/>
        </w:rPr>
        <w:t>E. 14</w:t>
      </w:r>
    </w:p>
    <w:p>
      <w:r>
        <w:t>a. Sur le plan psychique, l’intimé a retenu que le recourant ne présente aucune atteinte à la santé ayant une répercussion sur sa capacité de travail. Il se fonde pour cela sur le rapport d’expertise du Dr H_____. Le recourant conteste ce rapport, tant sur la forme que sur le fond. b. 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c.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 ordonne une expertise avant de rendre une décision au sens de l'art. 49 LPGA, il doit respecter le droit de l'assuré d'être entendu à ce stade déjà.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 RAMA 2000 n° U 369 p. 104 consid. 2b, 1996 n° U 265 p. 294 consid. 3c). À l’ATF 137 V 210 consid. 3, le Tribunal fédéral a instauré de nouveaux principes visant à consolider le caractère équitable des procédures administratives et de</w:t>
      </w:r>
    </w:p>
    <w:p>
      <w:r>
        <w:t>A/3304/2016 - 22/26 -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 RS 0.101] ;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w:t>
      </w:r>
    </w:p>
    <w:p>
      <w:r>
        <w:t>A/3304/2016 - 23/26 -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 d. La chambre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(ATAS/226/2013 et ATAS/263/2013). Dans ce dernier arrêt, la chambre de céans a également précisé que ce n'est pas uniquement en présence de justes motifs de récusation à l'encontre de l'expert que l'assuré peut émettre des contre-propositions. Dans un arrêt (ATAS/598/2014 du 8 mars 2014) rendu en application de l’art. 133 al. 2 LOJ, la chambre de céans a considéré que le droit d’être entendu d’une assurée avait été violé, l’assurance n’ayant transmis les informations (nom de l’établissement chargé de l’expertise médicale, les questions soumises à l’expert avec un délai pour faire part de ses éventuelles remarques, délai que la recourante n’avait pas utilisé. Puis, un mois avant l’expertise, le nom des experts et la date des examens, sans que la patiente ne formule de remarques) qu’à la recourante alors qu’elle était représentée par un mandataire, avec élection de domicile. En privant la recourante de ses droits de participation à l’établissement d’une expertise déterminante pour statuer sur son droit aux prestations, la violation du droit d’être entendu ne pouvait pas être réparée. L’assurance avait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il avait également empêché celui-ci de se prononcer sur le choix des experts et d’émettre des contre-propositions ; partant il avait violé son obligation de tendre à mettre en œuvre une expertise consensuelle. Comme le vice ne pouvait être réparé à ce stade de la procédure, l’expertise ne pouvait pas être considérée comme un moyen de preuve approprié et les décisions fondées sur celle- ci devaient être annulées. La mise en œuvre de l’expertise devait être reprise ab initio afin que les experts soient choisis après discussions entre les parties. Par arrêt du 13 décembre 2017, la chambre de céans a également estimé que le droit de l'assurée à participer à l’établissement d’une expertise avait été violé par</w:t>
      </w:r>
    </w:p>
    <w:p>
      <w:r>
        <w:t>A/3304/2016 - 24/26 - l’assureur-accidents, étant donné que ce dernier ne l'avait pas informée de son droit à s’opposer à l'expert choisi et ne lui avait pas transmis la liste des questions qui seraient soumises à l’expert (ATAS/1138/2017). e. L'Office fédéral des assurances sociales a édité des dispositions d'exécution de cette nouvelle pratique aux pages 43 ss de la Circulaire sur la procédure dans l'assurance-invalidité (ci-après : CPAI, état au 1er janvier 2016). Le mandat d’expertise et la convocation à l’expertise médicale sont communiqués sans indication des voies de recours. La communication indique le type d’expertise (monodisciplinaire, bidisciplinaire ou pluridisciplinaire) et les disciplines médicales prévues. Il faut y joindre la liste de questions et mentionner la possibilité pour l’assuré de remettre à l’office AI, par écrit, des questions supplémentaires. Pour les expertises monodisciplinaires ou bidisciplinaires, il faut indiquer le nom et le titre médical professionnel de la personne ou des personnes chargées de l’expertise. Un délai de dix jours est accordé à l’assuré pour formuler des objections contre l'expertise et les disciplines médicales prévues et remettre des questions supplémentaires. Ce délai peut être prolongé sur demande écrite et motivée. La personne assurée peut aussi soulever des objections de nature formelle ou matérielle. Si l’assuré ne fait pas usage de ce droit, le mandat est attribué à l’expert (cf. CPAI, p. 47, n° 2083ss). f. Enfin, le juge des assurances peut examiner l'éventuelle violation du droit d'être entendu aussi bien sur contestation d'une partie que d'office (ATF 120 V 362 consid. 2a; cf. aussi ZIMMERLI, Zum rechtlichen Gehör im sozialversicherungsrechtlichen Verfahren, in Festschrift 75 Jahre EVG, Berne 1992, p. 326).</w:t>
      </w:r>
    </w:p>
    <w:p>
      <w:r>
        <w:rPr>
          <w:b/>
        </w:rPr>
        <w:t>E. 15</w:t>
      </w:r>
    </w:p>
    <w:p>
      <w:r>
        <w:t>En l’occurrence, il résulte des pièces versées au dossier que par communication du 2 mai 2016, l’intimé a informé le recourant qu’une expertise psychiatrique allait être effectuée par la Dresse G_____, médecin auprès du CEML. L'intimé a joint la liste des questions qu'il entendait poser. Le recourant avait la possibilité, dans les dix jours à réception de cette communication, de faire parvenir à l’intimé les questions complémentaires qu’il souhaitait poser ainsi que les éventuels motifs pertinents de récusation à l’encontre de l’expert désigné. Le 6 juin 2016, le recourant a été expertisé par le Dr H_____, médecin auprès du CEML. A la demande de la chambre de céans, l’intimé a expliqué, dans son courrier du</w:t>
      </w:r>
    </w:p>
    <w:p>
      <w:r>
        <w:rPr>
          <w:b/>
        </w:rPr>
        <w:t>E. 18</w:t>
      </w:r>
    </w:p>
    <w:p>
      <w:r>
        <w:t>janvier 2018, que la Dresse G_____ est le médecin responsable du CEML, lequel avait déterminé quel médecin allait personnellement effectuer l’expertise. Ainsi, le nom du Dr H_____ figurait uniquement sur la convocation adressée directement par le CEML au recourant. Force est ainsi de constater que non seulement l’intimé a laissé entendre, à tort, que l’expert qui allait examiner le recourant était la Dresse G_____, mais qui plus est, l’intimé ne lui a pas octroyé un délai pour se prononcer sur le choix porté sur le Dr H_____. Or, étant donné que l'intimé savait que l'expertise psychiatrique n'allait</w:t>
      </w:r>
    </w:p>
    <w:p>
      <w:r>
        <w:t>A/3304/2016 - 25/26 - pas être effectuée par la Dresse G_____, puisque celle-ci est uniquement spécialisée en médecine interne générale et en oncologie, l'intimé aurait dû indiquer au recourant - dans sa communication du 2 mai 2016 - qu'une fois connu le nom de l'expert désigné, il lui était possible de le récuser dans un délai de dix jours. On relèvera en outre qu’en recevant directement du CEML la convocation pour l’expertise auprès du Dr H_____, le recourant n’avait d’autre choix que de se rendre au rendez-vous fixé, puisque la communication du 2 mai 2016 précisait qu’il était tenu de donner suite aux convocations de l’expert, sous peine de sanctions. De surcroît, la chambre de céans constate que le 28 mai 2015, le conseil du recourant a informé l’intimé qu’il était chargé de la défense des intérêts du recourant. Si l’élection de domicile n’a certes pas été mentionnée, force est toutefois de constater qu’à partir de cette date, tous les échanges de correspondance ont été effectués entre le conseil du recourant et l’intimé (courriers des 15 et</w:t>
      </w:r>
    </w:p>
    <w:p>
      <w:r>
        <w:rPr>
          <w:b/>
        </w:rPr>
        <w:t>E. 22</w:t>
      </w:r>
    </w:p>
    <w:p>
      <w:r>
        <w:t>juin, 14 juillet 2015, 11 et 14 janvier, 26 août 2016), exception faite de la communication du 2 mai 2016 que l’intimé a adressée directement au recourant. Or, en procédant de la sorte, l’intimé a privé le conseil du recourant de la faculté de connaître les questions posées à l’expert et de formuler ses propres questions, vidant ainsi de leur substance les nouvelles exigences procédurales qui visent à renforcer le caractère équitable de la procédure administrative. Compte tenu de ce qui précède, il est établi que le droit du recourant à participer à l’établissement d’une expertise a été violé par l’intimé. Étant donné que le recourant n’a pas pu participer à la mise en œuvre de l’expertise, notamment en exerçant son droit de se prononcer sur le choix de l’expert et de formuler ses propres questions, la violation du droit d’être entendu ne peut évidemment être réparée qu’en reprenant la procédure de désignation ab initio. À défaut, le recourant serait privé de la possibilité d’obtenir la désignation consensuelle d’un expert. 16. Par conséquent, il incombe à l’intimé de mettre en œuvre une nouvelle expertise psychiatrique. 17. Vu ce qui précède, le recours est admis partiellement et la décision querellée annulée. La cause sera renvoyée à l'intimé pour instruction complémentaire et nouvelle décision. 18. Représenté par un mandataire, le recourant, qui obtient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 19. Etant donné que, depuis le 1er juillet 2006, la procédure n'est plus gratuite (art. 69 al. 1bis LAI), au vu du sort du recours, il y a lieu de condamner l'intimé au paiement d'un émolument de CHF 200.-.</w:t>
      </w:r>
    </w:p>
    <w:p>
      <w:r>
        <w:t>A/3304/2016 - 26/26 -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