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ATAS/174/2016 vom 8. März 2016</w:t>
      </w:r>
    </w:p>
    <w:p>
      <w:r>
        <w:t>GE Cour de justice, 2016-03-08, FR</w:t>
      </w:r>
    </w:p>
    <w:p>
      <w:r>
        <w:rPr>
          <w:b/>
        </w:rPr>
        <w:t xml:space="preserve">Quelle: </w:t>
      </w:r>
      <w:r>
        <w:t>https://mcp.opencaselaw.ch/entscheid/ge_gerichte_ATAS_174_2016</w:t>
      </w:r>
    </w:p>
    <w:p>
      <w:r>
        <w:t>FR: GE_GERICHTE ATAS/174/2016 du 8 mars 2016</w:t>
      </w:r>
    </w:p>
    <w:p>
      <w:r>
        <w:t>IT: GE_GERICHTE ATAS/174/2016 del 8 marzo 2016</w:t>
      </w:r>
    </w:p>
    <w:p>
      <w:pPr>
        <w:pStyle w:val="Heading2"/>
      </w:pPr>
      <w:r>
        <w:t>Erwägungen</w:t>
      </w:r>
    </w:p>
    <w:p>
      <w:r>
        <w:rPr>
          <w:b/>
        </w:rPr>
        <w:t>E. 1</w:t>
      </w:r>
    </w:p>
    <w:p>
      <w:r>
        <w:t>La chambre des assurances sociales de la Cour de justice connaît en instance unique des contestations prévues à l’art. 36 de la loi d'application de la loi fédérale sur l'assurance-maladie du 29 mai 1997 (LaLAMal - J 3 05). Elle est donc compétente pour connaître du présent recours, la décision attaquée étant une décision rendue sur opposition en application de l’art. 33 LaLAMal, prévoyant que les subsides d’assurance-maladie indûment touchés doivent être restitués en appliquant par analogie l’art. 25 de la loi fédérale sur la partie générale du droit des assurances sociales du 6 octobre 2000 (LPGA - RS 830.1). Le présent recours a été déposé en temps utile (art. 36 al. 1 LaLAMal). Il satisfait aux exigences, peu élevées, de forme et de contenu prévues par l’art. 89B de la loi sur la procédure administrative du 12 septembre 1985 (LPA - E 5 10). L’assurée a qualité pour recourir (art. 60 al. 1 let. a et b et art. 89A LPA).</w:t>
      </w:r>
    </w:p>
    <w:p>
      <w:r>
        <w:t>Le présent recours est donc recevable.</w:t>
      </w:r>
    </w:p>
    <w:p>
      <w:r>
        <w:rPr>
          <w:b/>
        </w:rPr>
        <w:t>E. 2</w:t>
      </w:r>
    </w:p>
    <w:p>
      <w:r>
        <w:t>a.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w:t>
      </w:r>
    </w:p>
    <w:p>
      <w:r>
        <w:t>A/2608/2015 - 5/8 -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Ladite procédure et la réalisation des deux conditions considérées obéissent aux mêmes règles, qu’il s’agisse des PCF ou des PCC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b. Les deux questions du caractère indu des prestations considérées à hauteur de CHF 3'381.- et de l’obligation de principe de les restituer dans cette mesure ont été tranchées par la décision sur opposition du 26 novembre 2014, qui n’a pas fait l’objet d’un recours et est donc entrée en force. La chambre de céans ne saurait reprendre leur examen. c. La condition de la bonne foi est une condition de nature juridique (et non morale). Elle est considérée comme étant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 condition de la bonne foi doit être réalisée dans la période où l’assuré concerné a reçu les prestations indues dont la restitution est exigée (arrêt du Tribunal fédéral 8C_766/2007 du 17 avril 2008 consid. 4.1 et les références citées). À l’instar de la décision du 8 avril 2015, la décision sur opposition présentement attaquée, du 3 juillet 2015, admet que le recourant remplit la condition de la bonne</w:t>
      </w:r>
    </w:p>
    <w:p>
      <w:r>
        <w:t>A/2608/2015 - 6/8 - foi. La chambre de céans peut pratiquer la reformation in pejus, c’est-à-dire réformer une décision au détriment du recourant (art. 89E LPA). En l’espèce, elle ne reviendra pas sur la réalisation de cette condition, quoique le recourant – s’il n’est à l’évidence pas responsable de la poursuite du versement du subside d’assurance-maladie de mars à septembre 2014 – a eu conscience de son caractère indu. d. Le litige ne porte que sur le point de savoir si le recourant serait mis dans une situation difficile s’il devait rembourser les CHF 3'381.- lui ayant été versés en trop.</w:t>
      </w:r>
    </w:p>
    <w:p>
      <w:r>
        <w:rPr>
          <w:b/>
        </w:rPr>
        <w:t>E. 3</w:t>
      </w:r>
    </w:p>
    <w:p>
      <w:r>
        <w:t>L’imputation de la fortune des personnes vivant dans un home ou dans un hôpital s’élève à un quinzième ; pour les bénéficiaires de rente de vieillesse vivant dans un home ou dans un hôpital, elle équivaut à un dixième. Pour un invalide partiel, seul le revenu effectivement réalisé est pris en considération. Une éventuelle limite cantonale pour les frais de home n’est pas prise en considération.</w:t>
      </w:r>
    </w:p>
    <w:p>
      <w:r>
        <w:t>A/2608/2015 - 7/8 -</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