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ATAS/174/2011 vom 5. Februar 2010</w:t>
      </w:r>
    </w:p>
    <w:p>
      <w:r>
        <w:t>GE Cour de justice, 2010-02-05, FR</w:t>
      </w:r>
    </w:p>
    <w:p>
      <w:r>
        <w:rPr>
          <w:b/>
        </w:rPr>
        <w:t xml:space="preserve">Quelle: </w:t>
      </w:r>
      <w:r>
        <w:t>https://mcp.opencaselaw.ch/entscheid/ge_gerichte_ATAS_174_2011</w:t>
      </w:r>
    </w:p>
    <w:p>
      <w:r>
        <w:t>FR: GE_GERICHTE ATAS/174/2011 du 5 février 2010</w:t>
      </w:r>
    </w:p>
    <w:p>
      <w:r>
        <w:t>IT: GE_GERICHTE ATAS/174/2011 del 5 febbraio 2010</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calcul de la durée de cotisation et plus particulièrement sur la prise en compte de l'année 1963.</w:t>
      </w:r>
    </w:p>
    <w:p>
      <w:r>
        <w:rPr>
          <w:b/>
        </w:rPr>
        <w:t>E. 5</w:t>
      </w:r>
    </w:p>
    <w:p>
      <w:r>
        <w:t>En vertu de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 LAVS, les rentes ordinaires de vieillesse sont servies sous forme de rentes complètes aux assurés qui comptent une durée complète de cotisation (let. a) et de rentes partielles aux assurés qui comptent une durée incomplète de cotisation (let. b). D'après l'art. 29ter al. 1 LAVS, la durée de cotisation est réputée complète lorsqu'une personne présente le même nombre d'années de cotisations que les</w:t>
      </w:r>
    </w:p>
    <w:p>
      <w:r>
        <w:t>A/1723/2010 - 4/8 - assurés de sa classe d'âge.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RAVS).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29ter al. 2 LAVS).</w:t>
      </w:r>
    </w:p>
    <w:p>
      <w:r>
        <w:rPr>
          <w:b/>
        </w:rPr>
        <w:t>E. 6</w:t>
      </w:r>
    </w:p>
    <w:p>
      <w:r>
        <w:t>Par ailleurs, les revenus que les époux ont réalisés pendant les années civiles de mariage commun sont répartis et attribués pour moitié à chacun des époux. Cette répartition est notamment effectuée lorsque les deux conjoints ont droit à une rente (art. 29 quinquies al. 3 lit. a LAVS). Toutefois, à teneur de l’art. 29 quinquies al. 4 LAVS, seuls sont soumis à l’attribution réciproque les revenus réalisés entre le 1er janvier de l’année suivant celle durant laquelle la personne a atteint 20 ans révolus et le 31 décembre qui précède l’ouverture du droit à la rente du conjoint qui le premier peut y prétendre et durant les périodes où les deux conjoints ont été assurés auprès de l’assurance-vieillesse et survivants suisse, sous réserve de l’art. 29bis, al. 2 LAVS.</w:t>
      </w:r>
    </w:p>
    <w:p>
      <w:r>
        <w:rPr>
          <w:b/>
        </w:rPr>
        <w:t>E. 7</w:t>
      </w:r>
    </w:p>
    <w:p>
      <w:r>
        <w:t>Si la durée de cotisation d’une personne présente des lacunes, il y a lieu de la compléter en tenant compte des années d’éducation (art. 29ter al. 2 LAVS), des cotisations accomplies durant les années de jeunesse (art. 52b LAVS) et des années d’appoint (art. 52d du règlement sur l'assurance-vieillesse et survivants, du 31 octobre 1947; RAVS, RS 831.101). S’il existe toujours des lacunes, il y a lieu de considérer les mois de cotisations provenant de l’année de la survenance du cas d’assurance (art. 52c RAVS).</w:t>
      </w:r>
    </w:p>
    <w:p>
      <w:r>
        <w:rPr>
          <w:b/>
        </w:rPr>
        <w:t>E. 8</w:t>
      </w:r>
    </w:p>
    <w:p>
      <w:r>
        <w:t>a) Les périodes durant lesquelles la personne assurée, alors qu’elle possède la qualité d’assuré, ne s’est pas acquittée ou entièrement acquittée de son obligation de cotiser, ont toutefois valeur de durée de cotisations lorsque des bonifications pour tâches éducatives ou pour tâches d’assistance peuvent lui être attribuées pour cette période (art. 29ter, al. 2, LAVS). A noter que toute personne domiciliée en Suisse ou y exerçant une activité lucrative est assurée au sens de la LAVS (art. 2 al. 1 let. a et b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à deux bonifications cumulées (art. 29 sexies al. 1 LAVS). Les bonifications pour tâches éducatives attribuées pendant les années civiles de mariage sont réparties par moitié entre les conjoints (art. 29 sexies, al. 3 LAVS).</w:t>
      </w:r>
    </w:p>
    <w:p>
      <w:r>
        <w:t>A/1723/2010 - 5/8 - b) Lorsque la durée de cotisations d’une personne présente des lacunes, il y a tout d’abord lieu de prendre en compte, conformément à l’art. 52b RAVS, les périodes de cotisations qu’elle a accomplies dès le 1er janvier de l’année suivant l’accomplissement de sa 17e année. c) Si, en tenant compte de toutes les périodes de cotisations qui peuvent être prises en considération, la durée de cotisations de la personne présente encore d’autres lacunes, il est possible de la compléter en y ajoutant jusqu’à trois années dites d’appoint. En effet, selon l'art. 52d RAVS, pour compenser les années de cotisations manquantes avant le 1er janvier 1979, on ajoute, si l’intéressé était assuré en application des art. 1a ou 2 LAVS ou pouvait le devenir, des années de cotisations selon le barème suivant: Années entières de cotisations de l'assuré :</w:t>
      </w:r>
    </w:p>
    <w:p>
      <w:r>
        <w:t>De à Années entières de cotisations prises en compte en sus, jusqu'à concurrence de : 20 26 1 27 33 2 dès 34</w:t>
      </w:r>
    </w:p>
    <w:p>
      <w:r>
        <w:t>3</w:t>
      </w:r>
    </w:p>
    <w:p>
      <w:r>
        <w:t>Les lacunes de cotisations doivent être comblées depuis 1978 en revenant en arrière (ch. 5049 des Directives de l’OFAS concernant les rentes (DR) de l’assurance vieillesse, survivants et invalidité fédérale). d) Enfin, l'art. 52c RAVS précise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w:t>
      </w:r>
    </w:p>
    <w:p>
      <w:r>
        <w:rPr>
          <w:b/>
        </w:rPr>
        <w:t>E. 9</w:t>
      </w:r>
    </w:p>
    <w:p>
      <w:r>
        <w:t>a) Aux termes de l’article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w:t>
      </w:r>
    </w:p>
    <w:p>
      <w:r>
        <w:t>A/1723/2010 - 6/8 -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consid. 5a). b)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 c) 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262-266 consid. 3 et les références, 110 V 97 consid. 4a et la référence).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(ATF 110 V 97 consid. 4b). Cette jurisprudence a été maintes fois confirmée et cela même dans l'hypothèse où la rectification des inscriptions est requise avant la réalisation du risque assuré (arrêt M. du 24 février 2005, H 298/02 et les références). La Commission cantonale de recours en matière d'AVS/AI du Canton de Genève a déjà eu l’occasion de s’intéresser aux conditions d’immatriculation à la Faculté de médecine de l’Université de Genève entre 1958 et 1967, période litigieuse dans la cause qui lui était soumise. L'instruction de la cause avait alors permis d'établir que de 1948 à 1958, l'Université de Genève exigeait, avant d'immatriculer un étudiant,</w:t>
      </w:r>
    </w:p>
    <w:p>
      <w:r>
        <w:t>A/1723/2010 - 7/8 - qu'il lui présentât son carnet de timbres dûment rempli, mais qu'elle a renoncé à cette exigence à partir de 1959 (arrêt M. du 24 février 2005, H 298/02, consid. 4.1).</w:t>
      </w:r>
    </w:p>
    <w:p>
      <w:r>
        <w:rPr>
          <w:b/>
        </w:rPr>
        <w:t>E. 10</w:t>
      </w:r>
    </w:p>
    <w:p>
      <w:r>
        <w:t>Il y a lieu de constater en l'espèce qu'aucun timbre AVS n'a été produit pour 1963. Le fait que l'assuré ait été domicilié en Suisse cette année-là également n'est pas non plus établi à satisfaction de droit. Il a lui-même indiqué avoir été inscrit à l'Ecole polytechnique de Zurich de novembre 1959 à juillet 1962 et de novembre 1963 à juin 1969. Rien n'indique qu'il est resté étudiant en 1963.</w:t>
      </w:r>
    </w:p>
    <w:p>
      <w:r>
        <w:rPr>
          <w:b/>
        </w:rPr>
        <w:t>E. 11</w:t>
      </w:r>
    </w:p>
    <w:p>
      <w:r>
        <w:t>C'est dès lors à juste titre que la Caisse a procédé au calcul de la rente de vieillesse due à l'assuré sans tenir compte de l'année 1963.</w:t>
      </w:r>
    </w:p>
    <w:p>
      <w:r>
        <w:rPr>
          <w:b/>
        </w:rPr>
        <w:t>E. 12</w:t>
      </w:r>
    </w:p>
    <w:p>
      <w:r>
        <w:t>Aussi le recours est-il rejeté.</w:t>
      </w:r>
    </w:p>
    <w:p>
      <w:r>
        <w:t>A/1723/2010 - 8/8 -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