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ATAS/173/2022 vom 28. Februar 2022</w:t>
      </w:r>
    </w:p>
    <w:p>
      <w:r>
        <w:t>GE Cour de justice, 2022-02-28, FR</w:t>
      </w:r>
    </w:p>
    <w:p>
      <w:r>
        <w:rPr>
          <w:b/>
        </w:rPr>
        <w:t xml:space="preserve">Quelle: </w:t>
      </w:r>
      <w:r>
        <w:t>https://mcp.opencaselaw.ch/entscheid/ge_gerichte_ATAS_173_2022</w:t>
      </w:r>
    </w:p>
    <w:p>
      <w:r>
        <w:t>FR: GE_GERICHTE ATAS/173/2022 du 28 février 2022</w:t>
      </w:r>
    </w:p>
    <w:p>
      <w:r>
        <w:t>IT: GE_GERICHTE ATAS/173/2022 del 28 febbraio 2022</w:t>
      </w:r>
    </w:p>
    <w:p>
      <w:pPr>
        <w:pStyle w:val="Heading2"/>
      </w:pPr>
      <w:r>
        <w:t>Erwägungen</w:t>
      </w:r>
    </w:p>
    <w:p>
      <w:r>
        <w:rPr>
          <w:b/>
        </w:rPr>
        <w:t>E. 1</w:t>
      </w:r>
    </w:p>
    <w:p>
      <w:r>
        <w:t>A/1404/2016 - 6/10 -</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bien-fondé du refus de l'intimé d'entrer en matière sur la nouvelle demande de prestations de la recourante.</w:t>
      </w:r>
    </w:p>
    <w:p>
      <w:r>
        <w:rPr>
          <w:b/>
        </w:rPr>
        <w:t>E. 3.1</w:t>
      </w:r>
    </w:p>
    <w:p>
      <w:r>
        <w:t>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3.2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w:t>
      </w:r>
    </w:p>
    <w:p>
      <w:r>
        <w:t>A/1404/2016 - 7/10 - n'est en revanche pas nécessaire lorsque l'administration est entrée en matière sur la nouvelle demande (ATF 109 V 108 consid. 2b p. 114).</w:t>
      </w:r>
    </w:p>
    <w:p>
      <w:r>
        <w:rPr>
          <w:b/>
        </w:rPr>
        <w:t>E. 3.3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73a 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4.1</w:t>
      </w:r>
    </w:p>
    <w:p>
      <w:r>
        <w:t>En l’occurrence, il convient, conformément à la jurisprudence précitée, de prendre en compte les pièces médicales fournies par la recourante à l’appui de sa nouvelle demande de prestations, jusqu’au 8 mars 2021, date de la décision litigieuse. A cette date, l’intimé était en possession de deux rapports médicaux, l’un du Dr J______ du 5 décembre 2019, l’autre de la Dresse I______ du 14 janvier 2020. En particulier, les rapports médicaux transmis par la recourante à l’appui de son recours ne peuvent être pris en compte ; pour cette raison et par appréciation anticipée des preuves, il ne sera pas donné suite à la demande de la recourante de pouvoir communiquer à la chambre de céans d’autres pièces médicales.</w:t>
      </w:r>
    </w:p>
    <w:p>
      <w:r>
        <w:rPr>
          <w:b/>
        </w:rPr>
        <w:t>E. 4.2</w:t>
      </w:r>
    </w:p>
    <w:p>
      <w:r>
        <w:t>Le SMR a estimé, le 8 janvier 2021, que les deux rapports médicaux précités ne permettaient pas de retenir une aggravation notable et durable de l’état de santé</w:t>
      </w:r>
    </w:p>
    <w:p>
      <w:r>
        <w:t>A/1404/2016 - 8/10 - de la recourante depuis la dernière décision de l’intimé, du 5 avril 2016. Cet avis, convaincant, peut être suivi.</w:t>
      </w:r>
    </w:p>
    <w:p>
      <w:r>
        <w:rPr>
          <w:b/>
        </w:rPr>
        <w:t>E. 4.2.1</w:t>
      </w:r>
    </w:p>
    <w:p>
      <w:r>
        <w:t>La Dresse I______ pose les diagnostics de fibromyalgie depuis 2012, invalidante depuis 2017, et d’état dépressif, avec un état psychique qui s’est péjoré. Elle considère, au vu de ces diagnostics, que la recourante est incapable de travailler dans le domaine du nettoyage, de la manutention dans la vente, comme femme de chambre ou aide-soignante. Or, ce constat a déjà été pris en compte lors de l’examen de la première demande de prestations. En effet, la chambre de céans a relevé, dans son arrêt du 20 mars 2017, que la recourante était totalement incapable de travailler dans son ancienne activité (de femme de chambre) et totalement capable de travailler dans un activité légère, adaptée à ses limitations fonctionnelles, soit sans port de charges, sans travaux lourds et sans activités répétées avec le membre supérieur droit, au regard des avis de la Dresse E______. La description de la Dresse I______ n’est ainsi pas suffisante pour considérer que la recourante présenterait une incapacité de travail dans les activités jugées adaptées à son état de santé, ce d’autant que les diagnostics qu’elle pose sont similaires à ceux qui avaient été retenus à l’époque. Par ailleurs, la seule mention d’une péjoration de l’état psychique de la recourante est également insuffisante pour retenir une aggravation notable de l’état de santé de celle-ci. A cet égard, la Dresse I______ relève des troubles de la mémoire, une grande fatigabilité, du découragement et des céphalées. Or, les Drs F______, G______ et H______ avaient déjà mentionné, le 12 septembre 2016, que la recourante présentait une fatigabilité, un sentiment d’incapacité de faire face, un découragement, une humeur dépressive, une altération du fonctionnement quotidien et des troubles du sommeil ; ces troubles permettaient toutefois une activité adaptée aux limitations physiques et psychologiques de la recourante. L’avis de la Dresse I______, qui n’est de surcroit pas spécialisée en psychiatrie, ne permet ainsi pas de conclure à une incapacité de travail pour un motif psychique, dans une activité adaptée à l’état de santé de la recourante, telle que retenue en 2017.</w:t>
      </w:r>
    </w:p>
    <w:p>
      <w:r>
        <w:rPr>
          <w:b/>
        </w:rPr>
        <w:t>E. 4.2.2</w:t>
      </w:r>
    </w:p>
    <w:p>
      <w:r>
        <w:t>Il en est de même du rapport du Dr J______ du 5 décembre 2019, lequel fait était d’une fibromyalgie déjà connue et d’examens sanguins dans la norme. La mention d’une probable épicondylite au coude droit et tendinopathie du moyen fessier, pour lesquels le Dr J______ a proposé un traitement dont l’issue n’est pas connue, ne permet pas de conclure à un impact de ces diagnostics sur la capacité de travail de la recourante dans une activité légère, sans port de charges, sans travaux lourds et sans activités répétées avec le membre supérieur droit.</w:t>
      </w:r>
    </w:p>
    <w:p>
      <w:r>
        <w:rPr>
          <w:b/>
        </w:rPr>
        <w:t>E. 5</w:t>
      </w:r>
    </w:p>
    <w:p>
      <w:r>
        <w:t>Au vu de ce qui précède, les éléments médicaux au dossier, au 8 mars 2021, ne permettent pas d’admettre une aggravation notable de l’état de santé de la recourante, de sorte que le recours ne peut qu’être rejeté. La recourante pourra, si elle l’estime justifié, déposer une nouvelle demande de prestations, en fournissant des avis médicaux rendant plausible une éventuelle aggravation de son état de santé.</w:t>
      </w:r>
    </w:p>
    <w:p>
      <w:r>
        <w:t>A/1404/2016 - 9/10 - La recourante, qui succombe, sera condamnée au paiement d'un émolument de CHF 200.- (art. 69 al.1bis LAI).</w:t>
      </w:r>
    </w:p>
    <w:p>
      <w:r>
        <w:t>A/1404/2016 - 10/10 -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