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ATAS/172/2022 vom 28. Februar 2022</w:t>
      </w:r>
    </w:p>
    <w:p>
      <w:r>
        <w:t>GE Cour de justice, 2022-02-28, FR</w:t>
      </w:r>
    </w:p>
    <w:p>
      <w:r>
        <w:rPr>
          <w:b/>
        </w:rPr>
        <w:t xml:space="preserve">Quelle: </w:t>
      </w:r>
      <w:r>
        <w:t>https://mcp.opencaselaw.ch/entscheid/ge_gerichte_ATAS_172_2022</w:t>
      </w:r>
    </w:p>
    <w:p>
      <w:r>
        <w:t>FR: GE_GERICHTE ATAS/172/2022 du 28 février 2022</w:t>
      </w:r>
    </w:p>
    <w:p>
      <w:r>
        <w:t>IT: GE_GERICHTE ATAS/172/2022 del 28 febbraio 2022</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w:t>
      </w:r>
    </w:p>
    <w:p>
      <w:r>
        <w:rPr>
          <w:b/>
        </w:rPr>
        <w:t>E. 2</w:t>
      </w:r>
    </w:p>
    <w:p>
      <w:r>
        <w:t>Le litige porte sur le droit de la recourante à une rente entière d’invalidité.</w:t>
      </w:r>
    </w:p>
    <w:p>
      <w:r>
        <w:rPr>
          <w:b/>
        </w:rPr>
        <w:t>E. 3</w:t>
      </w:r>
    </w:p>
    <w:p>
      <w:r>
        <w:t>Selon l’art. 28 al. 1 let. b et c LAI, l’assuré a droit à une rente s’il a présenté une incapacité de travail (art. 6 LPGA) d’au moins 40% en moyenne durant une année sans interruption notable et qu’au terme de cette année, il est invalide (art. 8</w:t>
      </w:r>
    </w:p>
    <w:p>
      <w:r>
        <w:t>A/1607/2021 - 5/6 - LPGA) à 40% au moins.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4</w:t>
      </w:r>
    </w:p>
    <w:p>
      <w:r>
        <w:t>En l’occurrence, l’intimé, après réexamen du statut de la recourante, a considéré que celle-ci présentait un statut mixte, active à 90%, ainsi qu’une incapacité de travail totale dans toute activité dès le 1er août 2018 et lui a reconnu le droit à une rente entière d’invalidité dès le 1er janvier 2020. La recourante a acquiescé à cette conclusion, laquelle peut être suivie, compte tenu du dépôt de la demande de prestations le 29 juillet 2019. Les griefs de la recourante à l’égard de son statut ainsi que des empêchements ménagers retenus par l’intimé ne seront pas examinés dans le cadre du présent recours, faute d’intérêt digne de protection, la recourante obtenant gain de cause.</w:t>
      </w:r>
    </w:p>
    <w:p>
      <w:r>
        <w:rPr>
          <w:b/>
        </w:rPr>
        <w:t>E. 5</w:t>
      </w:r>
    </w:p>
    <w:p>
      <w:r>
        <w:t>Partant, le recours sera admis, la décision litigieuse annulée et il sera dit que la recourante a droit à une rente entière d’invalidité dès le 1er janvier 2020. Au vu du sort du recours, il y a lieu de condamner l’intimé au paiement d'un émolument de CHF 200.- (art. 69 al. 1 bis LAI). Pour le surplus, la recourante obtenant gain de cause, une indemnité de CHF 3'000.- lui sera accordée à titre de participation à ses frais et dépens (art. 61 let. g LPGA; art. 6 du règlement sur les frais, émolument et indemnités en matière administrative du 30 juillet 1986 [RFPA – E 5 10.03]).</w:t>
      </w:r>
    </w:p>
    <w:p>
      <w:r>
        <w:t>A/1607/2021 - 6/6 -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