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ATAS/171/2014 vom 11. Februar 2014</w:t>
      </w:r>
    </w:p>
    <w:p>
      <w:r>
        <w:t>GE Cour de justice, 2014-02-11, FR</w:t>
      </w:r>
    </w:p>
    <w:p>
      <w:r>
        <w:rPr>
          <w:b/>
        </w:rPr>
        <w:t xml:space="preserve">Quelle: </w:t>
      </w:r>
      <w:r>
        <w:t>https://mcp.opencaselaw.ch/entscheid/ge_gerichte_ATAS_171_2014</w:t>
      </w:r>
    </w:p>
    <w:p>
      <w:r>
        <w:t>FR: GE_GERICHTE ATAS/171/2014 du 11 février 2014</w:t>
      </w:r>
    </w:p>
    <w:p>
      <w:r>
        <w:t>IT: GE_GERICHTE ATAS/171/2014 del 11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- 7/14-</w:t>
      </w:r>
    </w:p>
    <w:p>
      <w:r>
        <w:t>A/2571/2013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2002, et, après le 1er janvier 2003,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4322).Le délai de recours est de 30 jours (art. 60 al. 1 LPGA). Déposé dans les forme et délai prévus par la loi, le présent recours est recevable (art. 39 al. 1 et 60 al. 2 LPGA).</w:t>
      </w:r>
    </w:p>
    <w:p>
      <w:r>
        <w:rPr>
          <w:b/>
        </w:rPr>
        <w:t>E. 3</w:t>
      </w:r>
    </w:p>
    <w:p>
      <w:r>
        <w:t>Le litige porte sur le droit de l’assuré à des prestations AI.</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t>- 8/14-</w:t>
      </w:r>
    </w:p>
    <w:p>
      <w:r>
        <w:t>A/2571/2013</w:t>
      </w:r>
    </w:p>
    <w:p>
      <w:r>
        <w:rPr>
          <w:b/>
        </w:rPr>
        <w:t>E. 5</w:t>
      </w:r>
    </w:p>
    <w:p>
      <w:r>
        <w:t>Les atteintes à la santé psychique peuvent, comme les atteintes physiques, entraîner une invalidité au sens de l'art. 4 al. 1 LAI en relation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t>- 9/14-</w:t>
      </w:r>
    </w:p>
    <w:p>
      <w:r>
        <w:t>A/2571/2013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- 10/14-</w:t>
      </w:r>
    </w:p>
    <w:p>
      <w:r>
        <w:t>A/2571/2013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w:t>
      </w:r>
    </w:p>
    <w:p>
      <w:r>
        <w:t>- 11/14-</w:t>
      </w:r>
    </w:p>
    <w:p>
      <w:r>
        <w:t>A/2571/2013 si les expertises médicales ordonnées par l'administration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(consid. 4.4.1.4 in fine de l'arrêt précité du 28 juin 2011).</w:t>
      </w:r>
    </w:p>
    <w:p>
      <w:r>
        <w:rPr>
          <w:b/>
        </w:rPr>
        <w:t>E. 11</w:t>
      </w:r>
    </w:p>
    <w:p>
      <w:r>
        <w:t>En l’espèce, l’OAI a confié une expertise pluridisciplinaire (médecine interne, psychiatrie et neuropsychologie) au CEMED par le biais de la plateforme SuisseMED@P. Dans leur rapport du 7 février 2012, les médecins ont considéré que les séquelles des infarctus myocardiques n’étaient pas invalidantes et que seul le syndrome d’apnées du sommeil et le trouble ventilatoire mixte broncho-obstructif et restrictif pourraient influencer la capacité de travail de l’assuré. Toutefois, le syndrome d’apnées du sommeil peut être corrigé sous CPAP, et la valeur du VEMS, s’agissant de la perturbation mixte de la fonction pulmonaire, est compatible avec un travail sédentaire. Constatant que l’assuré avait été capable de subir des tests neuropsychologiques durant près de trois heures, sans variation dans la vigilance, d’une part, et notant que les troubles cognitifs étaient pour la plupart à la limite inférieure de la norme, d’autre part, les experts ont retenu une baisse de rendement de l’ordre de 30% dès le début 2012 dans l’ancienne activité d’agent administratif, et une capacité de travail complète sans baisse de rendement dans une activité adaptée, soit une activité plus simple au niveau attentionnel. Ils ont relevé que l’assuré devait avoir une meilleure hygiène de vie, et une meilleure compliance au traitement du syndrome des apnées du sommeil, ce qui était exigible de lui.</w:t>
      </w:r>
    </w:p>
    <w:p>
      <w:r>
        <w:rPr>
          <w:b/>
        </w:rPr>
        <w:t>E. 12</w:t>
      </w:r>
    </w:p>
    <w:p>
      <w:r>
        <w:t>La capacité de travail peut-elle être améliorée par des mesures médicales? Dans l'affirmative, lesquelles ?</w:t>
      </w:r>
    </w:p>
    <w:p>
      <w:r>
        <w:rPr>
          <w:b/>
        </w:rPr>
        <w:t>E. 13</w:t>
      </w:r>
    </w:p>
    <w:p>
      <w:r>
        <w:t>Formuler un pronostic global. 4. Toutes remarques utiles et propositions de l'expert. 5. Invite l'expert à déposer à sa meilleure convenance un rapport en trois exemplaires à la Chambre de céans. 6. 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