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ATAS/171/2010 vom 22. Februar 2010</w:t>
      </w:r>
    </w:p>
    <w:p>
      <w:r>
        <w:t>GE Cour de justice, 2010-02-22, FR</w:t>
      </w:r>
    </w:p>
    <w:p>
      <w:r>
        <w:rPr>
          <w:b/>
        </w:rPr>
        <w:t xml:space="preserve">Quelle: </w:t>
      </w:r>
      <w:r>
        <w:t>https://mcp.opencaselaw.ch/entscheid/ge_gerichte_ATAS_171_2010</w:t>
      </w:r>
    </w:p>
    <w:p>
      <w:r>
        <w:t>FR: GE_GERICHTE ATAS/171/2010 du 22 février 2010</w:t>
      </w:r>
    </w:p>
    <w:p>
      <w:r>
        <w:t>IT: GE_GERICHTE ATAS/171/2010 del 22 febbraio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 RS 831.30). Il connaît aussi, en application de l'art. 56V al. 2 let. a LOJ, des contestations prévues à l'art. 43 de la loi cantonale sur les prestations cantonales complémentaires à l'assurance-vieillesse et survivants et à l'assurance-invalidité (LPCC ;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t>A/4333/2009 - 5/11 -</w:t>
      </w:r>
    </w:p>
    <w:p>
      <w:r>
        <w:rPr>
          <w:b/>
        </w:rPr>
        <w:t>E. 3</w:t>
      </w:r>
    </w:p>
    <w:p>
      <w:r>
        <w:t>Interjeté en date du 2 décembre 2009, le recours a été formé dans le délai de trente jours (art. 60 al. 1 LPGA, art. 43 LPCC) courant dès le lendemain de la réception, au plus tôt le 6 novembre 2009, de la décision sur opposition du 5 novembre 2009 (cf. art. 38 al. 1, 39 al. 2 et 60 al. 2 LPGA). Interjeté dans les forme et délai prévus par la loi, il est donc recevable (art. 56 ss LPGA).</w:t>
      </w:r>
    </w:p>
    <w:p>
      <w:r>
        <w:rPr>
          <w:b/>
        </w:rPr>
        <w:t>E. 4</w:t>
      </w:r>
    </w:p>
    <w:p>
      <w:r>
        <w:t>Le litige porte sur le droit du recourant à des prestations complémentaires fédérales et cantonales, en particulier sur la question de savoir s’il se justifie de prendre en compte dans le calcul de ces prestations un montant à titre de gain potentiel du conjoint. A cet égard, il convient d’observer que l’intimé a tenu compte d’un gain potentiel de l’épouse du recourant à compter du 1er juin 2008. Toutefois, jusqu’au 31 mars 2009, les revenus du recourant, en arrêt maladie mais rémunéré par son employeur (cf. certificat de salaire 2008 et courrier de l’Hospice général du 28 mai 2009), ont été largement supérieurs aux dépenses reconnues et ne justifiaient pas l’octroi de prestations complémentaires, indépendamment de la prise en compte d’un gain potentiel du conjoint. Ce n’est qu’à compter du 1er avril 2009 que le gain potentiel du conjoint influence le droit aux prestations complémentaires.</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w:t>
      </w:r>
    </w:p>
    <w:p>
      <w:r>
        <w:t>A/4333/2009 - 6/11 -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w:t>
      </w:r>
    </w:p>
    <w:p>
      <w:r>
        <w:rPr>
          <w:b/>
        </w:rPr>
        <w:t>E. 7</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w:t>
      </w:r>
    </w:p>
    <w:p>
      <w:r>
        <w:t>A/4333/2009 - 7/11 -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w:t>
      </w:r>
    </w:p>
    <w:p>
      <w:r>
        <w:rPr>
          <w:b/>
        </w:rPr>
        <w:t>E. 8</w:t>
      </w:r>
    </w:p>
    <w:p>
      <w:r>
        <w:t>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w:t>
      </w:r>
    </w:p>
    <w:p>
      <w:r>
        <w:t>A/4333/2009 - 8/11 -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w:t>
      </w:r>
    </w:p>
    <w:p>
      <w:r>
        <w:rPr>
          <w:b/>
        </w:rPr>
        <w:t>E. 9</w:t>
      </w:r>
    </w:p>
    <w:p>
      <w:r>
        <w:t>a) En l’espèce, s’agissant en premier lieu de l’état de santé du recourant, il convient d’observer que le Dr L__________, généraliste traitant, a d’abord déclaré, très laconiquement, que l’état de son patient nécessitait une surveillance stricte, assurée en l’occurrence par sa femme, qui ne pouvait donc pas travailler (courrier du 9 juillet 2009). A la demande de l’intimé, il a précisé son propos et fait état, dans son courrier du 1er octobre 2009, de la présence d’affections cardiaques, d’une hypertension artérielle difficilement contrôlable, ainsi que d’un état anxieux, voire anxio-dépressif et d’une bronchopathie chronique obstructive. Le médecin traitant a estimé que ces affections nécessitaient une surveillance et un encadrement rigoureux, en particulier s’agissant de l’administration des médicaments. Le Tribunal de céans observe à cet égard que le médecin traitant n’a aucunement retenu que les atteintes diagnostiquées seraient d’une telle gravité que le recourant ne pourrait pas vivre sans la surveillance permanente d’une tierce personne ni qu’il ne pourrait être laissé sans surveillance que de brefs instants. Par conséquent, au vu de la jurisprudence exposée ci-dessus, le Tribunal considère que le recourant n’a pas établi, au degré de la vraisemblance requis, que son propre état de santé nécessite une surveillance permanente de la part de son épouse, susceptible d’empêcher celle-ci d’exercer une quelconque activité lucrative. Dans l’acte de recours, le recourant a d’ailleurs concentré son argumentaire sur le fait qu’un gain</w:t>
      </w:r>
    </w:p>
    <w:p>
      <w:r>
        <w:t>A/4333/2009 - 9/11 - potentiel ne pouvait pas être retenu au vu de la situation personnelle de son épouse, sans plus insister sur la nécessité de faire lui-même l’objet d’une surveillance personnelle (cf. pp. 5 et ss. du mémoire de recours). b) En ce qui concerne les circonstances personnelles de l’épouse du recourant, il y a lieu d’observer que celle-ci était âgée de 55 ans au moment de la décision litigieuse et qu’elle n’a jamais travaillé depuis qu’elle est arrivée à Genève, en 1999. Elle était ainsi éloignée du monde du travail depuis dix ans. Elle a en revanche travaillé au Brésil en tant qu’employée de bureau pendant plusieurs années ainsi qu’en dernier lieu dans le domaine de la vente à domicile. Entre avril 2000 et avril 2001, l’épouse du recourant a bénéficié de mesures relatives au marché du travail, financées par l’assurance-chômage. Dans ce cadre, elle a fréquenté des cours de français et d’informatique, et suivi un stage d’entraînement en entreprise. Compte tenu de l’ensemble de ces éléments, le Tribunal de céans est d’avis que vu l’âge de l’épouse du recourant, son éloignement du monde professionnel et le fait qu’elle n’ait jamais travaillé en Suisse, une réintégration complète du marché du travail apparaît compromise. Un retour dans le monde du travail n’apparaît toutefois pas totalement irréaliste, dès lors que l’épouse du recourant semble être en bonne santé, qu’elle a été jugée apte au placement par l’assurance-chômage, et qu’elle possède un niveau de français qui devrait être suffisant pour pouvoir exercer à tout le moins des activités peu qualifiées. Par ailleurs, les quelques recherches d’emploi effectuées au printemps 2002 n’apparaissent pas suffisantes, en nombre et en qualité, pour admettre que du point de vue conjoncturel elle n’est pas en mesure de retrouver du travail. Cela étant, il n’est pas possible de répondre par l’affirmative à la question hypothétique de savoir si l’épouse du recourant est en mesure d’exercer une activité lucrative, et à quel taux, en se fondant sur des valeurs statistiques ou sur des données empiriques plus ou moins pertinentes. C’est bien plutôt en se référant, d’une part, à l’offre effective d’emplois pour des personnes répondant aux critères personnels et professionnels de l’intéressée et, d’autre part, au nombre de demandeurs d’emploi, sur le marché du travail local, qu’il sera possible de répondre, concrètement à cette question. A cet égard, pour déterminer les circonstances locales et actuelles, il pourra être utile de contacter les autorités cantonales du marché du travail voire se référer aux salaires d’après les valeurs statistiques régionales (cf. Arrêt du Tribunal fédéral du 4 avril 2005, P 6/04, consid. 3.2.2.). Le Tribunal constate ainsi, au vu de ce qui précède, que l’intimé n’a pas élucidé, à satisfaction de droit, les possibilités de gain réelles de l’épouse du recourant. La cause doit ainsi être renvoyée à l’intimé afin qu’il détermine si le marché du travail local présente des offres d’emploi à 100% pour des femmes de 55 ans, sans</w:t>
      </w:r>
    </w:p>
    <w:p>
      <w:r>
        <w:t>A/4333/2009 - 10/11 - formation et sans aucune expérience professionnelle en Suisse, éloignées du monde du travail depuis dix ans et avec des connaissances de français plutôt rudimentaires. S’il devait s’avérer, en pratique, qu’une occupation à 100% n’était pas du tout réaliste, il conviendra de vérifier si l’épouse du recourant est en mesure de trouver un emploi à temps partiel. Dans la négative, aucun gain potentiel ne pourra être retenu.</w:t>
      </w:r>
    </w:p>
    <w:p>
      <w:r>
        <w:rPr>
          <w:b/>
        </w:rPr>
        <w:t>E. 10</w:t>
      </w:r>
    </w:p>
    <w:p>
      <w:r>
        <w:t>Au vu de ce qui précède, il y a lieu de constater que la prise en compte d’un gain potentiel annuel de l’épouse du recourant de 41'161 fr. en 2009 n’apparaît pas fondé sur un examen approprié de la situation personnelle et professionnelle de la recourante par rapport au marché du travail local. Il convient donc de d’admettre partiellement le recours, d’annuler la décision entreprise et de renvoyer le dossier à l’intimé pour qu’il procède dans le sens des considérants. Le recourant, qui obtient partiellement gain de cause, a droit à des dépens fixés forfaitairement à 1'500 fr.</w:t>
      </w:r>
    </w:p>
    <w:p>
      <w:r>
        <w:t>A/4333/2009 - 11/11 -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