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ATAS/170/2018 vom 1. März 2018</w:t>
      </w:r>
    </w:p>
    <w:p>
      <w:r>
        <w:t>GE Cour de justice, 2018-03-01, FR</w:t>
      </w:r>
    </w:p>
    <w:p>
      <w:r>
        <w:rPr>
          <w:b/>
        </w:rPr>
        <w:t xml:space="preserve">Quelle: </w:t>
      </w:r>
      <w:r>
        <w:t>https://mcp.opencaselaw.ch/entscheid/ge_gerichte_ATAS_170_2018</w:t>
      </w:r>
    </w:p>
    <w:p>
      <w:r>
        <w:t>FR: GE_GERICHTE ATAS/170/2018 du 1 mars 2018</w:t>
      </w:r>
    </w:p>
    <w:p>
      <w:r>
        <w:t>IT: GE_GERICHTE ATAS/170/2018 del 1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56ss LPGA).</w:t>
      </w:r>
    </w:p>
    <w:p>
      <w:r>
        <w:rPr>
          <w:b/>
        </w:rPr>
        <w:t>E. 3</w:t>
      </w:r>
    </w:p>
    <w:p>
      <w:r>
        <w:t>L’objet du litige est la question de savoir si l’état de santé du recourant s’est aggravé depuis la dernière décision de l’intimé, statuant sur le droit à la rente, du 10 juin 2013.</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des besoins de soins découlant de l'invalidité de l'assuré s'est modifiée de manière à influencer ses droits (art. 87 al. 3 RAI, dans sa teneur en vigueur dès le 1er mars 2004). Il en va de même lorsqu'une rente ou une allocation pour impotent a été refusée en raison d'un degré d'invalidité insuffisant ou de l'absence d'impotence et que l'assuré dépose une nouvelle demande (art. 87 al.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Le Tribunal fédéral des assurances a précisé qu’il convenait de comparer l’état de santé avec celui tel qu'il se présentait lors de la dernière décision entrée en force, pour autant que celle- ci reposât sur un examen matériel du droit à la rente avec une constatation des faits pertinents, une appréciation des preuves et une comparaison des revenus (ATF 133</w:t>
      </w:r>
    </w:p>
    <w:p>
      <w:r>
        <w:t>A/4288/2017 - 9/13 - V 108 p. 110 ss consid. 5).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6</w:t>
      </w:r>
    </w:p>
    <w:p>
      <w:r>
        <w:t>L’assuré a droit à une rente entière s’il est invalide à 70 % au moins, à un trois- quarts de rente s'il est invalide à 60 % au moins, à une demi-rente s’il est invalide à</w:t>
      </w:r>
    </w:p>
    <w:p>
      <w:r>
        <w:t>A/4288/2017 - 10/13 - 50 % au moins, ou à un quart de rente s’il est invalide à 40 % au moins (art. 28 al. 2 LAI).</w:t>
      </w:r>
    </w:p>
    <w:p>
      <w:r>
        <w:rPr>
          <w:b/>
        </w:rPr>
        <w:t>E. 7</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une modification de l'état de santé de l'assuré en comparant les faits tels qu'ils se présentaient au moment de la décision initiale avec la situation au moment de son examen (ATF 125 V 369 consid. 2).</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En l’occurrence, la précédente décision de l’OAI est notamment fondée sur le rapport du 11 mars 2011 du Dr B______ de la SUVA qui a retenu un status après une arthrodèse sous-astragalienne consolidée, avec une limitation douloureuse de la mobilité de l’arrière-pied et de la cheville sur un status après arthrodèse sous- astragalienne, ainsi quelques légers signes irritatifs du genou droit et un syndrome vertébral lombaire modéré, sans manifestation radiculaire. L'exercice de l'activité précédente n’était plus exigible. Elle était toutefois entière dans une activité sédentaire, permettant des changements de position et n’exigeant que de courts déplacements. Depuis la décision du 10 juin 2013 de l'intimé, le Dr D______ relève, dans son rapport du 10 septembre 2013, que l’assuré a bien évolué sur le plan radiologique, sept ans après l’arthrodèse. Cependant, il y a une forte discrépance entre cette évolution et l’évolution clinique qui est assez catastrophique chez un assuré présentant une boiterie à la marche et qui marche avec une canne. La scintigraphie osseuse avec complément tomoscintigraphique ayant démontré une importante réaction autour d’une des deux vis, il propose leur ablation. L’arthrodèse est par ailleurs parfaitement consolidée. L'ablation est pratiquée le 16 octobre 2013 et le Dr D______ note, dans son rapport du 8 novembre 2013, une bonne évolution.</w:t>
      </w:r>
    </w:p>
    <w:p>
      <w:r>
        <w:t>A/4288/2017 - 11/13 - L’assuré est guéri et la plaie fermée. Néanmoins, il y a toujours la même douleur dans la gouttière externe. Par la suite, le Dr D______ procède à une infiltration xylocaïne le 19 novembre 2013 qui n’amène aucun résultat. Au contraire, une heure après, l’assuré dit souffrir davantage de douleurs. Selon ce médecin, les mesures diagnostiques pouvant expliquer le syndrome douloureux sont épuisées. Le 27 janvier 2014, le Dr D______ note qu’il n’a pas de solution à formuler et que le patient est venu reprendre son dossier pour voir le Dr E______ au CHUV. Le 8 avril 2014, le Dr D______ confirme la mauvaise évolution, à savoir des douleurs invalidantes malgré l’arthrodèse fusionnée. Le Dr E______ ne retient pas une indication chirurgicale, dans son rapport du 18 février 2015, et adresse le patient au Dr G______ pour une dénervation sélective de l’arrière-pied, tout en constatant un syndrome douloureux diffus de l’arrière-pied droit et que l’assuré marche avec deux cannes et une boiterie antalgique. L’IRM du 20 mars 2015 met en évidence une hernie discale postérieure et un épanchement dans l’articulation zygapophysaire gauche. Dans le rapport du 26 mai 2015, le Dr G______ note, outre des douleurs fortes au pied droit (8/10 au repos, la nuit et à la marche), que l’assuré présente également des douleurs dorsales depuis très longtemps. Toutefois, selon le rapport du 11 mai 2016 du Dr K______, le syndrome vertébral est modéré, sans syndrome irritatif ou déficitaire. L’IRM ne met en évidence qu’une pathologie dégénérative banale, avec un canal étroit mais pas rétréci, sans signal inflammatoire aigu. Quant à la petite hernie discale lombo-sacrée gauche, elle est sans répercussion clinique. Selon le Dr K______ la douleur rachidienne est la conséquence de la boiterie et est d’origine myofasciale. Il est à cet égard également à relever que l'examen clinique du 9 mai 2016 par le Dr K______ n'a pas révélé une contracture para-vertébrale, ni des douleurs à la palpation et à la percussion des épineuses rachidiennes lombaires, même lors de leur rotation contrariée. Il n'y avait pas non plus de douleurs à la palpation des articulations ilio-sacrées et des grands trochanters. La mobilité lombaire en flexion, extension, rotation et inflexion latérale n'était pas limitée, mais il y avait des douleurs axiales en fin de course particulièrement en flexion. La sensibilité était préservée dans tous les dermatomes, de même que la force dans tous les myotomes. Tous les réflexes étaient présents. En cours de procédure, une nouvelle IRM lombo-sacrée a été réalisée. Toutefois, selon le rapport du 30 novembre 2017 du Dr K______, l'examen clinique n'est toujours pas inquiétant et la nouvelle IRM rassurante. Il y a certes une nouvelle petite hernie L4-L5 qui a apparu. Cela est cependant compensé par la résorption de la hernie L5-S1 gauche. Partant, il sied de constater que ce nouvel examen n'a pas non plus mis en évidence une aggravation, raison pour laquelle la chambre de céans a renoncé à solliciter de</w:t>
      </w:r>
    </w:p>
    <w:p>
      <w:r>
        <w:t>A/4288/2017 - 12/13 - l'intimé de se déterminer sur l'IRM du 29 novembre et le rapport du 30 novembre 2017 du Dr K______. Selon le SMR, le syndrome vertébral lombaire et ses limitations fonctionnelles ont déjà été pris en compte dans les précédentes conclusions, si bien qu’aucun élément médical ne parle en faveur d’une aggravation de l’état de santé. Il y a lieu de se rallier à cet avis du SMR, au vu des conclusions du Dr K______ et en raison du fait que le recourant se plaignait déjà au moment de la dernière décision de l’OAI de douleurs au dos. Au demeurant, le syndrome vertébral lombaire n’engendre pas d’autres limitations fonctionnelles que celles retenues à l’époque (travail sédentaire sans longs déplacements et avec la possibilité de changement de positions). Cela étant, il convient de constater qu’aucune aggravation avec répercussion sur la capacité de travail dans une activité adaptée n’est survenue depuis la dernière décision de l’OAI. Par conséquent, les conditions d'une révision matérielle ne sont pas réunies, si bien que le refus de prestations du 10 juin 2013 doit être confirmé.</w:t>
      </w:r>
    </w:p>
    <w:p>
      <w:r>
        <w:rPr>
          <w:b/>
        </w:rPr>
        <w:t>E. 10</w:t>
      </w:r>
    </w:p>
    <w:p>
      <w:r>
        <w:t>Le recourant sollicite son audition. Cependant, dans la mesure où le juge doit se fonder sur des documents médicaux, comme relevé ci-dessus, il ne paraît guère utile d'entendre les plaintes du recourant de vive voix. En effet, celles-ci ne peuvent être prises en considération que si elles sont étayées par des constatations médicales en ce qui concerne les limitations fonctionnelles et la capacité de travail. Au demeurant, les plaintes du recourant ressortent déjà du dossier, notamment du rapport du 11 mai 2016 du Dr K______. Par conséquent, il ne sera pas donné suite à la conclusion du recourant tendant à la tenue d'une audience de comparution personnelle des parties.</w:t>
      </w:r>
    </w:p>
    <w:p>
      <w:r>
        <w:rPr>
          <w:b/>
        </w:rPr>
        <w:t>E. 11</w:t>
      </w:r>
    </w:p>
    <w:p>
      <w:r>
        <w:t>Cela étant, le recours sera rejeté.</w:t>
      </w:r>
    </w:p>
    <w:p>
      <w:r>
        <w:rPr>
          <w:b/>
        </w:rPr>
        <w:t>E. 12</w:t>
      </w:r>
    </w:p>
    <w:p>
      <w:r>
        <w:t>Dans la mesure où le recourant succombe, un émolument de justice de CHF 200.- est mis à sa charge. ***</w:t>
      </w:r>
    </w:p>
    <w:p>
      <w:r>
        <w:t>A/4288/2017 - 13/13 -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