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ATAS/170/2015 vom 3. März 2015</w:t>
      </w:r>
    </w:p>
    <w:p>
      <w:r>
        <w:t>GE Cour de justice, 2015-03-03, FR</w:t>
      </w:r>
    </w:p>
    <w:p>
      <w:r>
        <w:rPr>
          <w:b/>
        </w:rPr>
        <w:t xml:space="preserve">Quelle: </w:t>
      </w:r>
      <w:r>
        <w:t>https://mcp.opencaselaw.ch/entscheid/ge_gerichte_ATAS_170_2015</w:t>
      </w:r>
    </w:p>
    <w:p>
      <w:r>
        <w:t>FR: GE_GERICHTE ATAS/170/2015 du 3 mars 2015</w:t>
      </w:r>
    </w:p>
    <w:p>
      <w:r>
        <w:t>IT: GE_GERICHTE ATAS/170/2015 del 3 marzo 2015</w:t>
      </w:r>
    </w:p>
    <w:p>
      <w:pPr>
        <w:pStyle w:val="Heading2"/>
      </w:pPr>
      <w:r>
        <w:t>Erwägungen</w:t>
      </w:r>
    </w:p>
    <w:p>
      <w:r>
        <w:rPr>
          <w:b/>
        </w:rPr>
        <w:t>E. 45</w:t>
      </w:r>
    </w:p>
    <w:p>
      <w:r>
        <w:t>Sur ce,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A/1269/2014 - 12/23 - assurances sociales, du 6 octobre 2000 (LPGA - RS 830.1) relatives à la loi fédérale sur l’assurance-invalidité du 19 juin 1959 (LAI - RS 831.20). Sa compétence pour juger du cas d’espèce est ainsi établie. 2. A teneur de l'art. 1 al. 1 LAI, les dispositions de la LPGA s'appliquent à l'assurance- invalidité, à moins que la loi n'y déroge expressément. 3.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Le délai de recours est de 30 jours (art. 60 al. 1 LPGA). Interjeté dans la forme et le délai prévus par la loi, le recours est recevable, en vertu des art. 56ss LPGA. 5. Le litige porte sur le droit de l’assurée à des prestations AI, plus particulièrement à une demi-rente d’invalidité. 6. Quand l'administration entre en matière sur une nouvelle demande [art. 87 al. 3 du règlement sur l’assurance-invalidité du 17 janvier 1961 (RAI ; RS 831.201)],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 à-dire comparer les circonstances existant lorsque la nouvelle décision est prise avec celles qui existaient lorsque la dernière décision reposant sur un examen matériel du droit à la rente est entrée en force (ATF 133 V 108; 130 V 71) pour apprécier si dans l'intervalle est intervenue une modification sensible du degré d'invalidité justifiant désormais l'octroi d'une rente.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7.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8. Est réputée incapacité de gain toute diminution de l’ensemble ou d’une partie des possibilités de gain de l’assuré sur un marché du travail équilibré dans son domaine d’activité, si cette diminution résulte d’une atteinte à sa santé physique, mentale ou</w:t>
      </w:r>
    </w:p>
    <w:p>
      <w:r>
        <w:t>A/1269/2014 - 13/23 - psychique et qu’elle persiste après les traitements et les mesures de réadaptation exigibles (art. 7 LPGA). 9. Est réputée invalidité l’incapacité de gain totale ou partielle présumée permanente ou de longue durée (art. 8 al. 1 LPGA et 4 al. 1 LAI). 10. En vertu de l’art. 28 al. 2 LAI, l’assuré a droit à une rente entière s’il est invalide à 70% au moins, à un trois-quarts de rente s'il est invalide à 60% au moins, à une demi-rente s’il est invalide à 50% au moins, ou à un quart de rente s’il est invalide à 40% au moins. 11.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12.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13.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14.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w:t>
      </w:r>
    </w:p>
    <w:p>
      <w:r>
        <w:t>A/1269/2014 - 14/23 - 182 consid. 2a et les références; ATFA non publié I 237/04 du 30 novembre 2004, consid. 4.2) 15. 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16.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132 V 65, consid. 4.2.2; ATF non publié 9C_387/2009 du 5 octobre 2009, consid. 3.2). 17.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18. A l'inverse, si les limitations liées à l'exercice d'une activité résultent d'une exagération des symptômes ou d'une constellation semblable, on conclura, en règle</w:t>
      </w:r>
    </w:p>
    <w:p>
      <w:r>
        <w:t>A/1269/2014 - 15/23 -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19.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 20.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(ATFA non publié I 421/06 du 6 novembre 2007, consid. 3.1; ATFA non publié I 382/00 du 9 octobre 2001, consid. 2b). L'égalité de traitement commande en effet de soumettre tous les tableaux cliniques présentant des syndromes sans origine pathogène ou étiologique claire aux mêmes exigences en matière d'assurances sociales (ATFA non publié I 70/07 du 14 avril 2008, consid. 5). Ainsi, les principes jurisprudentiels développés en matière de troubles somatoformes douloureux sont également applicables à la fibromyalgie (ATF 132 V 65, consid. 4.1) au syndrome de fatigue chronique (ATF non publié 9C_662/2009 du 17 août 2010, consid. 2.3), de neurasthénie (ATFA non publié I 70/07 du 14 avril 2008, consid. 5), d'anesthésie dissociative et d'atteintes sensorielles (ATFA non publié I 9/07 du 9 février 2007, consid. 4) ainsi qu'en matière de troubles moteurs dissociatifs (ATF non publié 9C_903/2007 du 30 avril 2008, consid. 3.4) et de traumatisme du type "coup du lapin" (ATF 136 V 279, consid. 3.2.3). 21. Tant lors de l'examen initial du droit à la rente qu'à l'occasion d'une révision de celle-ci (art. 17 LPGA), il faut examiner sous l'angle des art. 4 et 5 LAI quelle méthode d'évaluation de l'invalidité il convient d'appliquer (art. 28a LAI, en</w:t>
      </w:r>
    </w:p>
    <w:p>
      <w:r>
        <w:t>A/1269/2014 - 16/23 - corrélation avec les art. 27 ss RAI). Le choix de l'une des trois méthodes entrant en considération, soit la méthode générale de comparaison des revenus, la méthode mixte ou la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22. Les atteintes à la santé psychique peuvent, comme les atteintes physiques, entraîner une invalidité au sens de l'art. 4 al. 1 LAI en relation avec l'art. 8 LPGA. Parmi les atteintes à la santé psychique pouvant provoquer une invalidité, on doit mentionner – à part les maladies mentales proprement dites – les anomalies psychiques qui équivalent à des maladies, étant précisé que l’on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w:t>
      </w:r>
    </w:p>
    <w:p>
      <w:r>
        <w:t>A/1269/2014 - 17/23 - 23.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24.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25.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26. 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w:t>
      </w:r>
    </w:p>
    <w:p>
      <w:r>
        <w:t>A/1269/2014 - 18/23 - raisonnablement, exiger de l'assuré (ATF 125 V 261 consid. 4, 115 V 134 consid. 2, 114 V 314 consid. 3c, 105 V 158 consid. 1 in fine).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On ajoutera qu'en cas de divergence d’opinion entre experts et médecins traitants, il n'est pas, de manière générale, nécessaire de mettre en œuvre une nouvelle expertise. La valeur probante des rapports médicaux des uns et des autres doit bien</w:t>
      </w:r>
    </w:p>
    <w:p>
      <w:r>
        <w:t>A/1269/2014 - 19/23 -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27.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28. En l'espèce, il s'agit d'examiner si l'état de santé de l'assurée s'est aggravé entre mai 2008, date à laquelle l'OAI avait rejeté sa demande de prestations AI sur la base du rapport d'expertise établi par le CEMED le 21 février 2007, et mars 2014, date à laquelle il a rendu la décision litigieuse. 29. Dans le rapport CEMED, le diagnostic de syndrome du tunnel carpien bilatéral, avec répercussion sur la capacité de travail, ainsi que ceux de status après opération de la cataracte (bilatérale) et dysthymie, sans répercussion sur la capacité de travail, ont été posés. Il a été conclu que l’assurée était capable de travailler à 100% dans une activité adaptée qui ne nécessitait pas de mouvements fins et répétés avec ses deux mains ni le port de charges de plus de 5 kg. 30. Suite à l'arrêt du Tribunal cantonal des assurances du 14 septembre 2010, l'OAI a confié un mandat d'expertise au Dr M______. Celui-ci, dans un rapport du 31 octobre 2011, a retenu les diagnostics sans répercussion sur la capacité de travail de dysthymie, dépression anxieuse persistante depuis 2004 (F34.1) et accentuation de traits de personnalité histrioniques depuis plusieurs années (Z73.1). Son examen n’avait pas mis en évidence d’anxiété généralisée de trouble phobique, de syndrome douloureux somatoforme persistant, de trouble panique ou de perte du plaisir, de sorte que les symptômes anxieux et dépressifs dus à la dysthymie ne justifiaient</w:t>
      </w:r>
    </w:p>
    <w:p>
      <w:r>
        <w:t>A/1269/2014 - 20/23 - aucune incapacité de travail, et il n’y avait pas non plus d’aggravation de l’état de santé psychique depuis l’expertise du Dr J______ de 2007. Dans un prononcé du 20 décembre 2011, l’OAI a ainsi nié, à nouveau, le droit de l'assurée à des prestations AI, considérant que l’état de santé de celle-ci ne s’était pas modifié depuis la décision du 6 mai 2008, de sorte que son degré d’invalidité, de 19%, restait insuffisant pour ouvrir le droit à une rente d’invalidité. 31. Dans le complément d'expertise ordonné par l'OAI afin de déterminer l'évolution de l'état de santé psychique de l'assurée depuis septembre 2011, le Dr M______ a ajouté que les plaintes de l’assurée ne correspondaient pas à ses observations cliniques. Un syndrome douloureux somatoforme pouvait être exclu. Il a confirmé que les symptômes mis en évidence correspondaient à une dysthymie. En l’absence de toute aggravation depuis l’expertise de septembre 2011, la reprise d’une activité professionnelle restait exigible à 100% sur le plan psychiatrique. Le Dr I______ a également été invité à compléter son expertise du 21 février 2007. Il a ainsi indiqué, le 31 janvier 2014, qu’il avait sollicité un nouvel examen électroneuromyographique réalisé en décembre 2013, dont il ne ressortait aucune récidive de syndrome du tunnel carpien. Les résultats, superposables à ceux de juillet 2010, étaient en effet meilleurs qu’en juin 2009, avant la deuxième opération chirurgicale du canal carpien. L’examen clinique était dans la norme. En présence de plaintes douloureuses sans atteinte clinique ni fibromyalgie, il a retenu un diagnostic de trouble somatoforme douloureux. La capacité de travail était nulle dans l’activité habituelle, mais entière dans une activité adaptée dès 2007. Les limitations fonctionnelles retenues étaient les mouvements fins ou répétés des mains, et le port de charges supérieures à cinq kilogrammes. L’OAI s’est fondé sur ces deux compléments d’expertise pour confirmer, le 20 mars 2014, son projet de décision du 20 décembre 2011. 32. La chambre de céans constate que l’assurée a fait l’objet de deux expertises réalisées l’une par un psychiatre, le Dr M______, et la seconde par un rhumatologue, le Dr I______, qu’elles ont été complétées à la demande de l’OAI, que ces expertises comportent une anamnèse familiale, psycho-sociale et professionnelle complète et détaillée, que les plaintes ont été prises en compte, que le status clinique a été clairement exposé et que les experts ont procédé à une appréciation et discussion du cas en se fondant sur un dossier complet. Leurs conclusions sont motivées, claires et convaincantes, exemptes de contradictions. Il s’ensuit que les expertises remplissent tous les réquisits permettant de leur attribuer pleine valeur probante. Il est vrai que le Dr M______ écarte le diagnostic de trouble somatoforme douloureux, alors que le Dr I______ le retient expressément. La question de ce diagnostic peut cependant être laissée ouverte. En effet, même s’il devait être posé, force serait de constater, à la lumière des observations faites par le Dr M______, que les conditions jurisprudentielles pour que le trouble somatoforme douloureux</w:t>
      </w:r>
    </w:p>
    <w:p>
      <w:r>
        <w:t>A/1269/2014 - 21/23 - soit considéré comme invalidant, ne sont pas réalisées, soit la comorbidité psychiatrique grave, la perte d’intégration sociale dans toutes les manifestations de la vie et l’état psychique cristallisé, plus particulièrement. 33. L’assurée est quant à elle d’avis que ces expertises ne sont pas probantes, rappelant que selon ses médecins traitants, elle souffre de graves atteintes des mains, des poignets, du dos, des yeux et de l’intestin, accompagnées de troubles dépressifs, délirants et de la personnalité, lesquels se sont aggravés malgré les traitements entrepris. Le Dr F______ a en effet indiqué, dans un rapport du 6 avril 2011 notamment, que l’assurée souffrait de troubles anxieux et dépressifs mixtes, de troubles délirants persistants, sans précision et de troubles de la personnalité, sans précision. L’état de santé psychique s’était aggravé depuis environ deux ans, avec des délires de type persécutoires de plus en plus forts. Les symptômes suivants étaient constatés : humeur déprimée, perte d’intérêt et de plaisir, fatigabilité accrue, perte de confiance et d’estime de soi, anxiété, altération de la capacité à penser et se concentrer, perturbation du sommeil, pleurs occasionnels, sentiment de désespoir, incapacité de faire face aux responsabilités habituelles, pessimisme envers l’avenir. L’assurée demeurait ainsi totalement incapable de travailler. Selon le Dr G______, l’assurée souffre presque constamment de cervico- brachialgies et dorsalgies qui se sont aggravées depuis janvier 2013. La mobilité cervico-dorsale est limitée, et des séances de physiothérapie ont été prescrites. Dans son rapport du 24 septembre 2012, le Dr G______ a estimé « l’invalidité » à 50% dans la dernière activité exercée. 34. Sur le plan psychique, le médecin traitant fait ainsi valoir une aggravation des troubles depuis 2009. Or, au jour de son expertise, soit en septembre 2009, l’expert n’a retenu qu’une dysthymie et a considéré que les attaques de panique n’étaient pas suffisamment importantes pour entraîner une incapacité de gain. Dans son complément d’expertise du 8 octobre 2013, il a confirmé le diagnostic de dysthymie, relevant au surplus que les plaintes de l’assurée ne correspondaient pas à ses observations cliniques. Le médecin traitant ne fait état d'aucun élément objectivement vérifiable qui aurait été ignoré dans le cadre de l'expertise et qui pourrait être suffisamment pertinent pour remettre en cause les conclusions de l'expert. Ses diagnostics de troubles délirants persistants et de trouble de la personnalité sont posés avec la mention « sans précision » (F22.9 et F41.2) de sorte que ces troubles ne peuvent être assimilés à une pathologie durable. 35. Sur le plan somatique, force est de constater que l’examen électroneuromyographique réalisé en décembre 2013, sur demande du Dr I______, exclut toute récidive de syndrome du tunnel carpien, et que l’examen clinique pratiqué par le Dr I______ est dans la norme. Une IRM d’octobre 2013 avait</w:t>
      </w:r>
    </w:p>
    <w:p>
      <w:r>
        <w:t>A/1269/2014 - 22/23 - démontré la présence de troubles dégénératifs cervicaux bénins, toutefois sans répercussion sur la mobilité. On relèvera enfin que le Dr G______, généraliste, ne bénéficie pas, lorsqu'il s'exprime, de l'autorité d'un expert rhumatologue. Il est vrai que dans un rapport du 3 juin 2014, le Dr T______, chef de clinique au Service de neurochirurgie des HUG, a confirmé le diagnostic de canal cervical étroit C5-C6 et C6-C7. L’assurée souffrait de douleurs lors de mouvements des bras ou lorsqu’elle soulevait des objets lourds. Son état était stationnaire et il n’y avait pas d’indication opératoire, mais un traitement rhumatologique permettrait éventuellement une évaluation favorable. Une capacité de travail de 50% était envisageable dans l’activité habituelle, si le traitement conservateur se révélait efficace. Dans une activité adaptée, la capacité de travail était aussi d’environ 50%. Il y a lieu de relever cependant que ce médecin ne fait état d’aucune atteinte à la santé supplémentaire. Seule son appréciation de la capacité de travail est différente. Le fait qu'il ait une opinion contraire à cet égard ne suffit pas pour remettre en cause les conclusions de l’expertise. Partant, les avis divergents des médecins traitants n'étant pas de nature à mettre sérieusement en doute l’analyse des experts, il convient de retenir, au degré de la vraisemblance prépondérante, que la capacité de travail est nulle dans l’activité habituelle, mais entière dans une activité adaptée dès 2007, étant précisé que les limitations fonctionnelles retenues sont les mouvements fins ou répétés des mains, et le port de charges supérieures à cinq kilogrammes. Force est dès lors de constater que l’état de santé de l’assurée ne s’est pas péjoré depuis la décision initiale de l’OAI du 6 mai 2008, puisque celle-ci retenait déjà une capacité entière de travail dans une activité adaptée. C’est par conséquent à juste titre que l’OAI a nié le droit de l’assurée à des prestations d’invalidité. Au vu de ce qui précède, le recours sera rejeté. 36. Bien que la procédure ne soit pas gratuite en matière d'assurance-invalidité (art. 69 al. 1bis LAI), il convient de renoncer à la perception d'un émolument, l'assurée étant au bénéfice de l'assistance juridique (art. 12 al. 1 du règlement sur les frais, émoluments et indemnités en procédure administrative du 30 juillet 1986; RS E 510.03).</w:t>
      </w:r>
    </w:p>
    <w:p>
      <w:r>
        <w:t>A/1269/2014 - 23/23 -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