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ATAS/16/2023 vom 18. Januar 2023</w:t>
      </w:r>
    </w:p>
    <w:p>
      <w:r>
        <w:t>GE Cour de justice, 2023-01-18, FR</w:t>
      </w:r>
    </w:p>
    <w:p>
      <w:r>
        <w:rPr>
          <w:b/>
        </w:rPr>
        <w:t xml:space="preserve">Quelle: </w:t>
      </w:r>
      <w:r>
        <w:t>https://mcp.opencaselaw.ch/entscheid/ge_gerichte_ATAS_16_2023</w:t>
      </w:r>
    </w:p>
    <w:p>
      <w:r>
        <w:t>FR: GE_GERICHTE ATAS/16/2023 du 18 janvier 2023</w:t>
      </w:r>
    </w:p>
    <w:p>
      <w:r>
        <w:t>IT: GE_GERICHTE ATAS/16/2023 del 18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Selon l'art. 89B al. 1 loi sur la procédure administrative du 12 septembre 1985 (LPA - E 5 10) applicable à la procédure devant la chambre des assurances sociales, la demande ou le recours est adressé en deux exemplaires soit par une lettre, soit par un mémoire signé comportant : les noms, prénoms, domicile ou résidence des parties ou, s'il s'agit d'une personne morale, toute autre désignation précise (let. a); un exposé succinct des faits ou des motifs invoqués (let. b); des conclusions (let. c). L'art. 89B al. 3 LPA précise que si la lettre ou le mémoire n'est pas conforme à ces règles, la chambre des assurances sociales impartit un délai convenable à son auteur pour le compléter en indiquant qu'en cas d'inobservation la demande ou le recours est écarté. Pour des raisons de sécurité, un acte de recours doit être muni de la signature originale de son auteur, si bien que l'acte sur lequel la signature figure sous forme</w:t>
      </w:r>
    </w:p>
    <w:p>
      <w:r>
        <w:t>A/3861/2022 - 3/4 - dactylographiée ou photocopiée n'est pas considéré comme valable (ATF 121 II 254 consid. 3 et les références; 112 Ia 173 consid. 1).</w:t>
      </w:r>
    </w:p>
    <w:p>
      <w:r>
        <w:rPr>
          <w:b/>
        </w:rPr>
        <w:t>E. 2.2</w:t>
      </w:r>
    </w:p>
    <w:p>
      <w:r>
        <w:t>De jurisprudence constante, celui qui se sait partie à une procédure judiciaire et qui doit dès lors s'attendre à recevoir des 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(ATF 141 II 429 consid. 3.1 p. 431 s.; 139 IV 228 consid. 1.1 p. 230).</w:t>
      </w:r>
    </w:p>
    <w:p>
      <w:r>
        <w:rPr>
          <w:b/>
        </w:rPr>
        <w:t>E. 3</w:t>
      </w:r>
    </w:p>
    <w:p>
      <w:r>
        <w:t>En l'occurrence, l’acte déposé par le recourant au greffe de la chambre de céans le 21 novembre 2022 ne comporte pas de signature originale des représentants du recourant et ne répond pas aux conditions formelles de recevabilité posées par le droit cantonal et la jurisprudence. Malgré le délai accordé par la chambre de céans au recourant pour corriger le vice en signant son recours, celui-ci n’a pas été corrigé.</w:t>
      </w:r>
    </w:p>
    <w:p>
      <w:r>
        <w:rPr>
          <w:b/>
        </w:rPr>
        <w:t>E. 4</w:t>
      </w:r>
    </w:p>
    <w:p>
      <w:r>
        <w:t>Le recours est dès lors irrecevable à la forme. La procédure est gratuite.</w:t>
      </w:r>
    </w:p>
    <w:p>
      <w:r>
        <w:t>A/3861/2022 - 4/4 -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