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ATAS/16/2020 vom 14. Januar 2020</w:t>
      </w:r>
    </w:p>
    <w:p>
      <w:r>
        <w:t>GE Cour de justice, 2020-01-14, FR</w:t>
      </w:r>
    </w:p>
    <w:p>
      <w:r>
        <w:rPr>
          <w:b/>
        </w:rPr>
        <w:t xml:space="preserve">Quelle: </w:t>
      </w:r>
      <w:r>
        <w:t>https://mcp.opencaselaw.ch/entscheid/ge_gerichte_ATAS_16_2020</w:t>
      </w:r>
    </w:p>
    <w:p>
      <w:r>
        <w:t>FR: GE_GERICHTE ATAS/16/2020 du 14 janvier 2020</w:t>
      </w:r>
    </w:p>
    <w:p>
      <w:r>
        <w:t>IT: GE_GERICHTE ATAS/16/2020 del 14 gennaio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Aux termes de l'art. 58 al. 1 LPGA, le tribunal des assurances compétent est celui du canton du domicile de l'assuré ou d'une autre partie au moment du dépôt du recours. L'art. 84 LAVS déroge à la disposition précitée, en stipulant que les décisions et les décisions sur opposition prises par les caisses cantonales de compensation peuvent faire l'objet d'un recours devant le tribunal des assurances du canton où la caisse de compensation a son siège (art. 84 LAVS). L'art. 52 al. 5 LAVS prévoit également un autre for, en dérogation à l'art. 58 al. 1 LPGA, puisqu'il dispose que le tribunal des assurances du canton dans lequel l'employeur est domicilié est compétent pour traiter le recours (art. 52 al. 5 LAVS).</w:t>
      </w:r>
    </w:p>
    <w:p>
      <w:r>
        <w:rPr>
          <w:b/>
        </w:rPr>
        <w:t>E. 2</w:t>
      </w:r>
    </w:p>
    <w:p>
      <w:r>
        <w:t>En l'espèce, l'intimée revêt la qualité de caisse cantonale au sens de l'art. 84 LAVS. À ce titre, elle a rendu une décision en réparation du dommage au sens de l'art. 52 al. 1 LAVS. Se pose ainsi la question de savoir si la compétence ratione loci de la chambre de céans se détermine en fonction de l'art. 52 al. 5 ou 84 LAVS. a. Le principe selon lequel des actions en réparation du dommage à l'encontre de personnes morales ou de leurs organes doivent être portées devant le tribunal des assurances du canton dans lequel la personne morale a, ou avait jusqu'à sa faillite, son siège a été confirmé à plusieurs reprises par la jurisprudence depuis l'entrée en vigueur de la LPGA et de l'art. 52 al. 5 LAVS (TF 9C_725/2009 du 15 mars 2010 ; TF H 202/06 du 6 juillet 2007, H 184/06 du 25 avril 2007 et H 130/06 du 13 février 2007). b. L'art. 52 al. 5 LAVS constitue une lex specialis par rapport à l'art. 84 al. 1 LAVS, même si la décision entreprise émane d'une caisse de compensation cantonale (cf. A/2376/2015-ATAS/275/2016 (GE) du 6 avril 2016 consid. 3 in fine ; AK.2015.00026 (ZH) du 24 juin 2015 consid. 1.2 ; Ueli KIESER, ATSG- Kommentar, 3ème éd. 2015 ad art. 58 LPGA, no 26; Michel Valterio, Droit de l'assurance-vieillesse et survivants (AVS) et de l'assurance-invalidité (AI), Genève/Zurich/Bâle 2011, no 2483, et les références citées). c. Si l'administrateur ou un autre organe d'une société est recherché à titre subsidiaire, le tribunal des assurances du siège de la société reste compétent, quand bien même la personne recherchée en responsabilité est domiciliée dans un autre canton ou à l'étranger (Jean Métral, in Commentaire romand de la loi sur la partie générale des assurances sociales, Bâle 2018, n. 11 ad art. 58 LPGA).</w:t>
      </w:r>
    </w:p>
    <w:p>
      <w:r>
        <w:t>A/4424/2019 - 4/5 - Si l'employeur affilié à une caisse de compensation cantonale a déplacé son siège dans un autre canton avant la faillite, le tribunal cantonal au lieu du nouveau siège est compétent (Jean Métral, op. cit. et les références citées).</w:t>
      </w:r>
    </w:p>
    <w:p>
      <w:r>
        <w:rPr>
          <w:b/>
        </w:rPr>
        <w:t>E. 3</w:t>
      </w:r>
    </w:p>
    <w:p>
      <w:r>
        <w:t>En l’espèce, la société a transféré son siège dans le canton de Vaud en octobre 2014, de sorte que la chambre de céans n’est pas, au vu de ce qui précède, compétente pour statuer sur le recours interjeté par Monsieur A______.</w:t>
      </w:r>
    </w:p>
    <w:p>
      <w:r>
        <w:rPr>
          <w:b/>
        </w:rPr>
        <w:t>E. 4</w:t>
      </w:r>
    </w:p>
    <w:p>
      <w:r>
        <w:t>Le recours doit dès lors être déclaré irrecevable pour défaut de compétence ratione loci de la chambre de céans.</w:t>
      </w:r>
    </w:p>
    <w:p>
      <w:r>
        <w:rPr>
          <w:b/>
        </w:rPr>
        <w:t>E. 5</w:t>
      </w:r>
    </w:p>
    <w:p>
      <w:r>
        <w:t>Il revient au tribunal qui décline sa compétence de transmettre sans délai l'acte de recours et ses annexes au tribunal compétent (art. 58 al. 3 LPGA), soit en l'occurrence, la Cour des assurances sociales du Tribunal cantonal de Lausanne.</w:t>
      </w:r>
    </w:p>
    <w:p>
      <w:r>
        <w:t>A/4424/2019 - 5/5 -</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