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ATAS/16/2017 vom 17. Januar 2017</w:t>
      </w:r>
    </w:p>
    <w:p>
      <w:r>
        <w:t>GE Cour de justice, 2017-01-17, FR</w:t>
      </w:r>
    </w:p>
    <w:p>
      <w:r>
        <w:rPr>
          <w:b/>
        </w:rPr>
        <w:t xml:space="preserve">Quelle: </w:t>
      </w:r>
      <w:r>
        <w:t>https://mcp.opencaselaw.ch/entscheid/ge_gerichte_ATAS_16_2017</w:t>
      </w:r>
    </w:p>
    <w:p>
      <w:r>
        <w:t>FR: GE_GERICHTE ATAS/16/2017 du 17 janvier 2017</w:t>
      </w:r>
    </w:p>
    <w:p>
      <w:r>
        <w:t>IT: GE_GERICHTE ATAS/16/2017 del 17 gennaio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t>A/1849/2016 4/5</w:t>
      </w:r>
    </w:p>
    <w:p>
      <w:r>
        <w:rPr>
          <w:b/>
        </w:rPr>
        <w:t>E. 4</w:t>
      </w:r>
    </w:p>
    <w:p>
      <w:r>
        <w:t>En l’espèce, le juge de première instance a ordonné le partage par moitié des prestations de sortie acquises durant le mariage par les demandeurs. Les dates pertinentes sont, d’une part, celle du mariage, soit le 6 mai 2011, d’autre part le 13 mai 2016, date à laquelle le jugement de divorce est devenu exécutoire.</w:t>
      </w:r>
    </w:p>
    <w:p>
      <w:r>
        <w:rPr>
          <w:b/>
        </w:rPr>
        <w:t>E. 5</w:t>
      </w:r>
    </w:p>
    <w:p>
      <w:r>
        <w:t>Selon les documents produits, la prestation acquise pendant le mariage par le demandeur est de CHF 10'943.10 tandis que celle acquise par la demanderesse est de CHF 19'957.55, les intérêts ayant déjà été calculés par les institutions de prévoyance défenderesses. Non seulement le demandeur a contesté avoir travaillé, durant la période du mariage, dans d’autres établissements qu’à C______ et affirmé y avoir travaillé à plein temps, mais encore la demanderesse n’a nullement amené d’indices ne serait- ce que de la vraisemblance du contraire ni surtout du fait que son ex-mari aurait réalisé, en sus de ses revenus pour son travail à C______, des revenus le cas échéant suffisants pour donner lieu à perception de cotisations à un 2ème pilier alimentant une épargne. Les dires du demandeur sont corroborés par les données résultant de son extrait de compte individuel tant sur l’employeur que sur les revenus réalisés, de même que des autres pièces produites, en particulier du courrier de la Centrale du 2ème pilier, ne faisant pas état d’avoirs de prévoyance annoncés par d’autre institution que GastroSocial, qui a fourni les données requises à la chambre de céans. Il n’y a, dans ces conditions, pas lieu d’ordonner d’autres actes d’instruction. Ainsi, le demandeur doit à son ex-épouse le montant de CHF 5'471.55 (CHF 10'943.10 : 2) et celle-ci doit à celui-là le montant de CHF 9'978.80 (CHF 19'957.55 : 2, soit 9'978.775 arrondi à CHF 9'978.80), de sorte que c’est la demanderesse qui doit au demandeur le montant de CHF 4'507.25.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 * * * *</w:t>
      </w:r>
    </w:p>
    <w:p>
      <w:r>
        <w:t>A/1849/2016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