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ATAS/16/2016 vom 14. Januar 2016</w:t>
      </w:r>
    </w:p>
    <w:p>
      <w:r>
        <w:t>GE Cour de justice, 2016-01-14, FR</w:t>
      </w:r>
    </w:p>
    <w:p>
      <w:r>
        <w:rPr>
          <w:b/>
        </w:rPr>
        <w:t xml:space="preserve">Quelle: </w:t>
      </w:r>
      <w:r>
        <w:t>https://mcp.opencaselaw.ch/entscheid/ge_gerichte_ATAS_16_2016</w:t>
      </w:r>
    </w:p>
    <w:p>
      <w:r>
        <w:t>FR: GE_GERICHTE ATAS/16/2016 du 14 janvier 2016</w:t>
      </w:r>
    </w:p>
    <w:p>
      <w:r>
        <w:t>IT: GE_GERICHTE ATAS/16/2016 del 14 gennaio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De même, les modifications du RAVS du 24 septembre 2010, entrées en vigueur le 1er janvier 2011 ont entraîné la modification de plusieurs dispositions légales dans le domaine de l'assurance-vieillesse et survivant, et par conséquent de l’assurance-invalidité, lorsque la LAI y renvoie.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A/3420/2014 - 9/20 -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(art. 56 ss LPGA).</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w:t>
      </w:r>
    </w:p>
    <w:p>
      <w:r>
        <w:t>A/3420/2014 - 10/20 - à condition que le requérant ait déposé sa demande dans les douze mois dès la naissance du droit.</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w:t>
      </w:r>
    </w:p>
    <w:p>
      <w:r>
        <w:t>A/3420/2014 - 11/20 -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A/3420/2014 - 12/20 -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A/3420/2014 - 13/20 -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A/3420/2014 - 14/20 -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w:t>
      </w:r>
    </w:p>
    <w:p>
      <w:r>
        <w:t>A/3420/2014 - 15/20 -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11</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w:t>
      </w:r>
    </w:p>
    <w:p>
      <w:r>
        <w:t>A/3420/2014 - 16/20 -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w:t>
      </w:r>
    </w:p>
    <w:p>
      <w:r>
        <w:t>A/3420/2014 - 17/20 -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12</w:t>
      </w:r>
    </w:p>
    <w:p>
      <w:r>
        <w:t>En l'espèce, le rapport d'expertise du Dr K______ remplit les critères jurisprudentiels précités pour qu'il lui soit reconnu une pleine valeur probante, ce que les parties ne contestent pas. Dès lors, la chambre de céans retiendra les</w:t>
      </w:r>
    </w:p>
    <w:p>
      <w:r>
        <w:t>A/3420/2014 - 18/20 - conclusions du rapport d'expertise judiciaire, qui conclut à une incapacité de travail à 50%, continuellement depuis septembre 2009. A l'issue du délai d'attente, c'est-à-dire le 1er septembre 2010, la recourante a ainsi présenté une incapacité de travail d'au moins 40%, mais le droit à la rente n'a pris naissance qu'à l’échéance d’une période de six mois à compter de la date à laquelle l’assurée a fait valoir son droit aux prestations, soit le 1er août 2012 (art. 28 et 29 LAI). Le degré d'invalidité est de 50%, de sorte que la recourante a droit à une demi-rente d'invalidité.</w:t>
      </w:r>
    </w:p>
    <w:p>
      <w:r>
        <w:rPr>
          <w:b/>
        </w:rPr>
        <w:t>E. 13</w:t>
      </w:r>
    </w:p>
    <w:p>
      <w:r>
        <w:t>Mal fondé, le recours doit être rejeté. La procédure est gratuite, la recourante plaidant au bénéfice de l’assistance juridique.</w:t>
      </w:r>
    </w:p>
    <w:p>
      <w:r>
        <w:rPr>
          <w:b/>
        </w:rPr>
        <w:t>E. 14</w:t>
      </w:r>
    </w:p>
    <w:p>
      <w:r>
        <w:t>A l’ATF 137 V 210 consid. 4.4.2, le Tribunal fédéral a indiqué que les frais qui découlaient de la mise en œuvre d'une expertise médicale judiciaire mono-, bi- ou pluridisciplinaire pouvaient le cas échéant être mis à la charge d'un assureur social. En effet, lorsque l'autorité judiciaire de première instance décidait de confier la réalisation d'une expertise judiciaire pluridisciplinaire à un ou plusieurs experts ou à un centre d'expertise parce qu'elle estimait que l'instruction menée par l'autorité administrative était insuffisante (au sens du consid. 4.4.1.4 de l'ATF 137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mais des frais relatifs à la procédure administrative au sens de l'art. 45 LPGA qui devaient être pris en charge par l'assureur social (ATF 137 V 210 consid. 4.4).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(ATF 135 V 465 consid. 4.4; voir également ATF 139 V 225 consid. 4 et arrêt du Tribunal fédéral 8C_71/2013 du 27 juin 2013 consid.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(ATF 125</w:t>
      </w:r>
    </w:p>
    <w:p>
      <w:r>
        <w:t>A/3420/2014 - 19/20 - V 351 consid. 3a).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134 V 496 consid. 4.4; arrêt du Tribunal fédéral 9C_803/2013 du 13 février 2014 consid. 4.1).</w:t>
      </w:r>
    </w:p>
    <w:p>
      <w:r>
        <w:rPr>
          <w:b/>
        </w:rPr>
        <w:t>E. 15</w:t>
      </w:r>
    </w:p>
    <w:p>
      <w:r>
        <w:t>En l'espèce, dans ses recommandations du 2 juillet 2012, le SMR avait conseillé de réviser la situation dans un délai de deux ans. La décision entreprise a été prononcée après l'échéance de ce délai sans qu'une telle révision n'ait lieu. Dans ces circonstances, force est d'admettre que, du fait de l'écoulement du temps, l'instruction effectuée par l'intimé présentait des lacunes concernant notamment l'état de santé et le degré de l'incapacité de travail de la recourante au moment du prononcé de la décision litigieuse, lacunes mises en évidence par le médecin traitant et la psychiatre traitante de la recourante, ainsi que par cette dernière. Les frais de l'expertise judiciaire doivent par conséquent être pris en charge par l'intimé.</w:t>
      </w:r>
    </w:p>
    <w:p>
      <w:r>
        <w:t>A/3420/2014 - 20/20 -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