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ATAS/16/2010 vom 12. Januar 2010</w:t>
      </w:r>
    </w:p>
    <w:p>
      <w:r>
        <w:t>GE Cour de justice, 2010-01-12, FR</w:t>
      </w:r>
    </w:p>
    <w:p>
      <w:r>
        <w:rPr>
          <w:b/>
        </w:rPr>
        <w:t xml:space="preserve">Quelle: </w:t>
      </w:r>
      <w:r>
        <w:t>https://mcp.opencaselaw.ch/entscheid/ge_gerichte_ATAS_16_2010</w:t>
      </w:r>
    </w:p>
    <w:p>
      <w:r>
        <w:t>FR: GE_GERICHTE ATAS/16/2010 du 12 janvier 2010</w:t>
      </w:r>
    </w:p>
    <w:p>
      <w:r>
        <w:t>IT: GE_GERICHTE ATAS/16/2010 del 12 gennaio 2010</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Cela étant, sans remettre en cause le principe de la libre appréciation des preuves, le Tribunal fédéral a posé des lignes directrices en ce qui concerne la manière d’ap- précier certains types d’expertises ou de rapports médicaux. Ainsi, le juge ne s’é- carte en principe pas sans motifs impératifs des conclusions d’une expertise médi- 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 nière convaincante. En outre, lorsque d’autres spécialistes émettent des opinions contraires aptes à mettre sérieusement en doute la pertinence des déductions de l’expert, on ne peut exclure, selon les cas, une interprétation divergente des conclu- sions de ce dernier par le juge ou, au besoin, une instruction complémentaire sous la forme d’une nouvelle expertise médicale (ATF 125 V 351 consid. 3b/aa).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celui-ci (ATF 125 V 351 consid. 3b/bb et cc). En l’espèce, force est de constater que seul le rapport d’expertise dressé le 25 no- vembre 2008 par le docteur F_________ remplit les exigences applicables en la matière pour se voir reconnaître pleine valeur probante. Il se fonde sur un examen approfondi de l’ensemble du dossier médical et, comme le relève le docteur H________, sur un examen détaillé des diverses propositions théoriques et diagnos- tiques évoquées jusque là. L’expert a en outre fondé son appréciation sur une riche anamnèse familiale et personnelle, et les plaintes exprimées par la recourante ont</w:t>
      </w:r>
    </w:p>
    <w:p>
      <w:r>
        <w:t>A/1880/2009 - 11/14 - été prises en compte. En outre, ses conclusions sont dûment motivées, et la motiva- tion est exempte de contradictions. En revanche, les rapports établis par les docteurs E_________ et H________ n’of- frent manifestement pas les mêmes garanties formelles, de sorte qu’il convient de ne leur attribuer qu’une moindre valeur probante. Il sied en outre de préciser qu’en sa qualité de psychiatre traitant, compte doit encore être tenu de la relation de confiance particulière qui lie le docteur E_________ à la recourante. Pour le sur- plus, le temps écoulé depuis que les avis des docteurs A__________, B__________ et C__________ ont été établis en a largement émoussé la pertinence actuelle, de sorte que, dans leurs domaines respectifs, ces avis doivent se voir reconnaître une valeur probante limitée dans le temps.</w:t>
      </w:r>
    </w:p>
    <w:p>
      <w:r>
        <w:rPr>
          <w:b/>
        </w:rPr>
        <w:t>E. 7</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 exigibles (art. 7 LPGA, dans sa teneur jusqu’au 31 décembre 2007). Au sens du droit des assurances sociales, l’invalidité est donc une notion économi- que et non médicale ; ce sont les conséquences économiques objectives de l’incapa- cité fonctionnelle qu’il importe d’évaluer (ATF 110 V 275 consid. 4a).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Dans un arrêt du 5 octobre 2001 (ATF 127 V 294), le Tribunal fédéral a précisé sa jurisprudence relative aux atteintes à la santé psychique. Ainsi, les facteurs psycho- sociaux ou socioculturels ne figurent pas au nombre des atteintes à la santé suscep- tibles d’entraîner une invalidité au sens de l’art. 4 al. 1er LAI. Pour qu’une invalidité soit reconnue, il est nécessaire, dans chaque cas, qu’un substrat médical pertinent, entravant la capacité de travail (et de gain) de manière importante, soit mis en évi- dence par le médecin spécialisé. Plus les facteurs psychosociaux et socioculturels</w:t>
      </w:r>
    </w:p>
    <w:p>
      <w:r>
        <w:t>A/1880/2009 - 12/14 -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 pression durable au sens médical ou un état psychique assimilable, et non une sim- ple humeur dépressive. Une telle atteinte psychique, qui doit être distinguée des facteurs socioculturels, et qui doit de manière autonome influencer la capacité de travail, est nécessaire en définitive pour que l’on puisse parler d’invalidité. En re- vanche, là où l’expert ne relève pour l’essentiel que des éléments qui trouvent leur explication et leur source dans le champ socioculturel ou psychosocial, il n’y a pas d’atteinte à la santé à caractère invalidant (ATF 127 V 294 consid. 5a in fine ; VSI 2000 p. 155 consid. 3). Enfin, il ne faut pas perdre de vue que, d’après la jurisprudence constante rendue avant le 1er janvier 2008 (voir aussi la nouvelle teneur de l’art. 7 LAI), on applique de manière générale dans le domaine de l’assurance-invalidité le principe selon le- quel un invalide doit, avant de requérir des prestations de l’assurance-invalidité, en- treprendre de son propre chef tout ce qu’on peut raisonnablement attendre de lui pour atténuer le mieux possible les conséquences de son invalidité ; c’est pourquoi un assuré n’a pas droit à une rente lorsqu’il serait en mesure, au besoin en chan- geant de profession, d’obtenir un revenu excluant une invalidité ouvrant droit à une rente (sur ce principe général du droit des assurances sociales, voir ATF 123 V 233 consid. 3c, 117 V 278 consid. 2b, 400 consid. 4b et les arrêts cités). En outre, la ré- adaptation par soi-même est un aspect de l’obligation de diminuer le dommage et prime aussi bien le droit à une rente qu’à celui des mesures de réadaptation (art. 21 al. 4 LPGA). En l’espèce, il s’impose de retenir que la recourante n’est pas parvenue à rendre vraisemblable le caractère invalidant, au sens des dispositions légales rappelées plus haut, de ses troubles psychiques. Il n’est évidemment pas question ici de met- tre en doute les affirmations de la recourante quand elle fait état des conséquences désastreuses pour elle des actes de harcèlement moral dont elle a pu être victime dans l’exercice de son activité professionnelle. Il n’est pas davantage question de mettre en doute sa sincérité quand elle déclare se sentir à jamais incapable de tra- vailler après de si nombreuses années passées hors de tout environnement profes- sionnel. Mais force est de constater que, même au cours de la présente procédure, la recourante n’a fait que confirmer les propos de l’expert F_________ quand celui-ci expose qu’elle a progressivement développé un sentiment d’injustice et focalisé son attention sur l’obtention de prestations d’assurance plutôt que sur les troubles dont elle se plaint et sur leur guérison. Il apparaît en effet que, bien que différents spécialistes se soient penchés sur ces troubles, aucun des diagnostics évoqués, soit l’état anxio-dépressif, le trouble dé-</w:t>
      </w:r>
    </w:p>
    <w:p>
      <w:r>
        <w:t>A/1880/2009 - 13/14 - pressif majeur récurrent, le trouble bipolaire, l’anxiété généralisée, le trouble pani- que sans agoraphobie, la phobie sociale, le trouble de l’adaptation, la probable pa- thologie psychotique et la personnalité schizotypique n’a pu être confirmé, les fac- teurs psychosociaux imprégnant l’anamnèse recueillie de manière essentielle. Il apparaît en outre que les cures de sevrage d’alcool tentées ont porté leurs fruits dès 2007, si bien que les troubles induits par l’abus de cette substance s’amendent peu à peu depuis lors, le pronostic étant favorable tant qu’il y aura abstinence. Pour ce qui est de l’abus et d’une probable dépendance à certains médicaments, qui ont vraisemblablement des conséquences fâcheuses pour l’équilibre psychique de la re- courante, le nécessaire sevrage présente certes les difficultés importantes exposées par le docteur H________, mais on peine à comprendre ce qui en empêcherait la tentative, dans l’optique d’une orientation professionnelle et d’un reclassement que préconise le rapport d’expertise. En tout état, force est de constater que la recourante n’est pas parvenue, au degré de la vraisemblance prépondérante exigée en matière d’assurances sociales, à montrer qu’elle a, de son propre chef, entrepris tout ce qui peut être raisonnablement attendu de sa part pour atténuer les conséquences de son invalidité. En conséquence, c’est à bon droit que l’OAI a nié son droit au versement d’une rente d’invalidité.</w:t>
      </w:r>
    </w:p>
    <w:p>
      <w:r>
        <w:rPr>
          <w:b/>
        </w:rPr>
        <w:t>E. 8</w:t>
      </w:r>
    </w:p>
    <w:p>
      <w:r>
        <w:t>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 gieuse, et doit se situer entre 200 et 1'000 fr. L’émolument, arrêté à 200 fr., sera mis à la charge de la recourante, qui succombe. Pour ce motif également, il ne lui sera pas octroyé de dépens (art. 61 let. g LPGA, a contrario).</w:t>
      </w:r>
    </w:p>
    <w:p>
      <w:r>
        <w:t>A/1880/2009 - 14/14 -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