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ATAS/169/2026 vom 2. März 2026</w:t>
      </w:r>
    </w:p>
    <w:p>
      <w:r>
        <w:t>GE Cour de justice, 2026-03-02, FR</w:t>
      </w:r>
    </w:p>
    <w:p>
      <w:r>
        <w:rPr>
          <w:b/>
        </w:rPr>
        <w:t xml:space="preserve">Quelle: </w:t>
      </w:r>
      <w:r>
        <w:t>https://mcp.opencaselaw.ch/entscheid/ge_gerichte_ATAS_169_2026</w:t>
      </w:r>
    </w:p>
    <w:p>
      <w:r>
        <w:t>FR: GE_GERICHTE ATAS/169/2026 du 2 mars 2026</w:t>
      </w:r>
    </w:p>
    <w:p>
      <w:r>
        <w:t>IT: GE_GERICHTE ATAS/169/2026 del 2 marzo 2026</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Le contrat d'assurance d'indemnités journalières en cas de maladie couvrant le risque de perte de gain, soumis à la LCA, relève de l'assurance complémentaire à l'assurance-maladie sociale (arrêts du Tribunal fédéral 4A_47/2012 du 12 mars 2012 consid. 2 ; 4A_118/2011 du 11 octobre 2011 consid. 1.3 et les références citées). Selon la lettre A9.1 des CGA, applicables à la police d’assurance, le contrat est régi par la LCA. La compétence de la chambre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étant précisé que l’art. 17 al. 1 CPC consacre la possibilité d’une élection de for écrite. En l’occurrence, la lettre A9.2 des CGA prévoit que seuls les tribunaux ordinaires suisses sont compétents pour les litiges relevant du contrat d’assurance. La prestation caractéristique visant le versement d’indemnités journalières, il s’agit d’une dette portable qui doit être exécutée au lieu du domicile de l’assuré (ATAS/135/2025 du 10 mars 2025 consid. 1.2). La demanderesse, en sa qualité d’assurée, étant domiciliée dans le canton de Genève, la chambre de céans est également compétente à raison du lieu.</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Elle est donc recevable.</w:t>
      </w:r>
    </w:p>
    <w:p>
      <w:r>
        <w:t>A/2333/2025 - 15/24 -</w:t>
      </w:r>
    </w:p>
    <w:p>
      <w:r>
        <w:rPr>
          <w:b/>
        </w:rPr>
        <w:t>E. 2</w:t>
      </w:r>
    </w:p>
    <w:p>
      <w:r>
        <w:t>Le litige porte sur le droit éventuel de la demanderesse à des indemnités journalières au-delà du 30 novembre 2024, date à compter de laquelle la défenderesse a mis fin auxdites prestations.</w:t>
      </w:r>
    </w:p>
    <w:p>
      <w:r>
        <w:rPr>
          <w:b/>
        </w:rPr>
        <w:t>E. 2.1</w:t>
      </w:r>
    </w:p>
    <w:p>
      <w:r>
        <w:t>Sur le plan matériel, 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LCA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d’assurance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2.2</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2.2.1</w:t>
      </w:r>
    </w:p>
    <w:p>
      <w:r>
        <w:t>La jurisprudence applicable avant l'introduction du CPC, prévoyant l'application de la maxime inquisitoire sociale aux litiges relevant de l'assurance- 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Lorsque la partie est assistée d’un mandataire professionnel, le tribunal doit appliquer la maxime inquisitoire sociale avec retenue. S’il doit toujours attirer</w:t>
      </w:r>
    </w:p>
    <w:p>
      <w:r>
        <w:t>A/2333/2025 - 16/24 - l’attention des parties sur les lacunes du dossier et les inviter à le compléter, il ne peut ordonner d’office des mesures d’instruction (arrêt du Tribunal fédéral 4A_522/2008 du 3 septembre 2009 in RSPC 2010 p. 12).</w:t>
      </w:r>
    </w:p>
    <w:p>
      <w:r>
        <w:rPr>
          <w:b/>
        </w:rPr>
        <w:t>E. 2.2.2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w:t>
      </w:r>
    </w:p>
    <w:p>
      <w:r>
        <w:t>A/2333/2025 - 17/24 -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2.2.3</w:t>
      </w:r>
    </w:p>
    <w:p>
      <w:r>
        <w:t>S'agissant d'une assurance de dommages, conformément à l'art. 8 CC, la personne assurée doit établir au degré de la vraisemblance prépondérante que son incapacité de travailler pour cause de maladie lui a causé une perte de gain, c'est- à-dire un dommage. Autrement dit, elle doit établir avec vraisemblance prépondérante que si elle n'était pas malade, elle exercerait une activité lucrative. Cela implique donc de se poser, dans chaque cas d'espèce, la question suivante : le travailleur exercerait-il ou non une activité lucrative s'il n'était pas malade ? Ce n'est en effet que dans l'affirmative que tant l'assurance d'indemnités journalières</w:t>
      </w:r>
    </w:p>
    <w:p>
      <w:r>
        <w:t>A/2333/2025 - 18/24 - pour cause de maladie que l'assurance-chômage allouent des prestations. Il ressort de la jurisprudence qu'il faut distinguer deux cas de figure, en fonction du moment auquel intervient la résiliation du contrat de travail (signification du congé) : 1) Si la personne assurée était déjà malade au moment où son contrat de travail a été résilié, après la période de protection contre les congés, il est présumé (présomption de fait) que, sans la maladie qui l'affecte, elle exercerait non seulement une activité lucrative, mais elle aurait continué à travailler pour son employeur, et donc à percevoir le même salaire pendant toute la durée de son incapacité de travail. Dans ce cas de figure, la perte de gain correspond à sa perte de salaire (ATF 147 III 73 consid. 3.2 et 3.3). 2) Si la personne assurée a été licenciée avant de tomber malade (pendant le délai de congé), elle doit établir avec une vraisemblance prépondérante qu'elle exercerait une activité lucrative si elle n'était pas malade, et qu'elle aurait eu droit aux indemnités de l'assurance-chômage. Dans ce cas de figure, il ne peut pas être présumé qu'elle percevrait le même salaire que précédemment et les indemnités journalières doivent être calculées sur la base des indemnités de l'assurance-chômage (ATF 147 III 73 consid. 3.3; cf. toutefois consid. 4 non publié de cet ATF s'agissant d'un nouvel emploi concret [« konkret bezeichnete Stelle »], avec des indications sur le nouveau salaire possible). Lorsqu'elle est en incapacité de travail, la personne qui exercerait une activité lucrative si elle n'était pas malade n'est pas apte au travail et ne peut donc pas percevoir de prestations de l'assurance-chômage. En revanche, puisqu'elle est malade, elle a droit aux prestations de l'assurance-maladie collective, calculées sur la base des indemnités de l'assurance-chômage (arrêt du Tribunal fédéral 4A_417/2023 du 1er octobre 2024 consid. 6.1). Une personne sans emploi, qui réclame des indemnités journalières pour cause de maladie sans avoir droit à des indemnités journalières de l'assurance-chômage, doit établir avec une vraisemblance prépondérante, pour prouver une perte de gain, qu'elle exercerait une activité lucrative si elle n'était pas malade (ATF 141 III 241 consid. 3). La preuve de l’exercice d’une activité lucrative au degré de la vraisemblance prépondérante doit être apportée par des indices concrets, qui peuvent notamment ressortir du curriculum vitae et des entretiens d’embauche (arrêt du Tribunal fédéral 4A_424/2020 du 19 janvier 2021 consid. 4.3, non publié in ATF 147 III 73).</w:t>
      </w:r>
    </w:p>
    <w:p>
      <w:r>
        <w:rPr>
          <w:b/>
        </w:rPr>
        <w:t>E. 2.3</w:t>
      </w:r>
    </w:p>
    <w:p>
      <w:r>
        <w:t>Aux termes de l’art. 168 al. 1 CPC, les moyens de preuve sont le témoignage (let. a) ; les titres (let. b) ; l’inspection (let. c) ; l’expertise (let. d) ; les renseignements écrits (let. e) ; l’interrogatoire et la déposition de partie (let. f). L’expertise en tant que moyen de preuve admis au sens de l’art. 168 al. 1 let. d CPC ne vise que l’expertise judiciaire au sens de l’art 183 al. 1 CPC (ATF 141 III 433 consid. 2.5.2 et 2.5.3).</w:t>
      </w:r>
    </w:p>
    <w:p>
      <w:r>
        <w:t>A/2333/2025 - 19/24 - Selon l’art. 177 CPC, dans sa teneur en vigueur depuis le 1er janvier 2025, les titres sont des documents propres à prouver des faits pertinents, tels les écrits, les dessins, les plans, les photographies, les films, les enregistrements audio, les fichiers électroniques, les données analogues et les expertises privées des parties. Dans son Message du 26 février 2020 relatif à la modification du code de procédure civile suisse [Amélioration de la praticabilité et de l’application du droit], FF 2020 2607), le Conseil fédéral relevait que selon le Tribunal fédéral, les expertises privées ou soumises par les parties - c’est-à-dire les rapports d’experts n’ayant pas été sollicités par le tribunal conformément aux art. 183 ss CPC mais commandés par une partie elle-même - ne constituaient pas des titres au sens de l’art. 177 CPC et n’étaient en conséquence pas des moyens de preuve admissibles au sens de l’art. 168 al. 1 CPC (FF 2020 2607 p. 2659, note de bas de page 192 : ATF 141 III 433 consid. 2). Cela résultait en premier lieu, selon lui, du fait que, lors de l’élaboration du CPC, les expertises privées ou soumises par les parties avaient été exclues non seulement en tant que type d’expertise mais de façon générale en tant que moyen de preuve. En contradiction avec une grande partie de la doctrine, cette jurisprudence avait fait l’objet de critiques (FF 2020 2607 p. 2659). Le Conseil fédéral, étant d’avis que cette interprétation du droit n’était pas satisfaisante et que ce point devait donc être adapté, a alors proposé de prévoir expressément dans la loi que les expertises privées des parties sont également considérées comme des titres soumis aux principes généraux applicables en la matière et constituent ainsi un moyen de preuve admissible selon l’art. 168 al. 1 let. b CPC. Les expertises privées ou fournies par les parties resteront soumises au principe de la libre appréciation des preuves par le tribunal au sens de l’art. 157 CPC et leur force probante dans le cas concret dépendra de toutes les circonstances à prendre en compte (par ex. les liens entre la partie et l’expert, les circonstances de l’attribution du mandat, la procédure et le déroulement de l’expertise, la compétence de l’expert, etc. ; cf. FF 2020 2607 p. 2660).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w:t>
      </w:r>
    </w:p>
    <w:p>
      <w:r>
        <w:t>A/2333/2025 - 20/24 -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w:t>
      </w:r>
    </w:p>
    <w:p>
      <w:r>
        <w:rPr>
          <w:b/>
        </w:rPr>
        <w:t>E. 2.4</w:t>
      </w:r>
    </w:p>
    <w:p>
      <w:r>
        <w:t>Les assurances complémentaires à l'assurance-maladie sociale au sens de la LAMal sont soumises au droit privé, plus particulièrement à la LCA ; ATF 124 III 44 consid. 1a/aa). Comme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122 III 118 consid. 2a ;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3.1</w:t>
      </w:r>
    </w:p>
    <w:p>
      <w:r>
        <w:t>La police d’assurance du 9 novembre 2021 prévoit le versement d’une indemnité journalière en cas de maladie à hauteur de 80% du salaire assuré durant 730 jours, avec un délai d’attente de 30 jours. Selon la lettre B1.1 des CGA, la défenderesse verse les indemnités journalières mentionnées dans la police pour les conséquences économiques d’une incapacité de travail due à une maladie. Selon la lettre B9.2 des CGA, en cas d’incapacité de travail totale, la défenderesse paie l’indemnité journalière mentionnée dans la police. En cas d’incapacité de</w:t>
      </w:r>
    </w:p>
    <w:p>
      <w:r>
        <w:t>A/2333/2025 - 21/24 - travail partielle, l’indemnité journalière est fixée proportionnellement au degré de cette incapacité. Une incapacité de travail inférieure à 25% ne donne pas droit à une indemnité journalière. Est réputée maladie toute atteinte à la santé physique, mentale ou psychique subie par la personne assurée, qui est principalement imputable à des causes médicales, et qui n’est pas due à un accident, qui exige un examen ou un traitement médical et qui provoque une incapacité de travail (lettre D1.1 des CGA).</w:t>
      </w:r>
    </w:p>
    <w:p>
      <w:r>
        <w:rPr>
          <w:b/>
        </w:rPr>
        <w:t>E. 3.2</w:t>
      </w:r>
    </w:p>
    <w:p>
      <w:r>
        <w:t>Sur le plan médical, la demanderesse requiert le versement d’indemnités journalières correspondant à une incapacité de travail de 100% au-delà du 30 novembre 2024 en se basant sur les certificats d’arrêt de travail et les rapports émis par son psychiatre traitant. La défenderesse, de son côté, conteste devoir prester davantage, en s’appuyant sur le rapport d’expertise psychiatrique du</w:t>
      </w:r>
    </w:p>
    <w:p>
      <w:r>
        <w:rPr>
          <w:b/>
        </w:rPr>
        <w:t>E. 3.3</w:t>
      </w:r>
    </w:p>
    <w:p>
      <w:r>
        <w:t>En effet, l’assurance en question constitue une assurance de dommages. Selon l’art. B13.1 des CGA, les prestations de tiers sont imputées, sauf dans le cas d’une assurance de sommes. La recourante bénéficie de l’assurance collective en tant que salariée de l’entreprise qui est la preneuse d’assurance. Le personnel assuré, en particulier la recourante, n’a pas été nommément désigné(e) dans la police d’assurance. Selon l’art. B4.2 des CGA, les indemnités journalières sont calculées sur la base du dernier salaire AVS perçu dans l’entreprise assurée avant le début de la maladie. Ces éléments plaident pour une assurance de dommages (dans ce sens : ATF 146 III 339 consid. 5.2.4, voir le consid. 5.2.3 pour la distinction entre une assurance de sommes et une assurance de dommages). Or, dans le cadre d’une assurance d’indemnités journalières conçue comme une assurance de dommages, ledit dommage - soit la perte de gain - doit être démontré au degré de la vraisemblance prépondérante (ATF 141 III 241 consid. 3.1). En l’occurrence, la demanderesse fait valoir que le montant des indemnités journalières à partir du 1er décembre 2024 doit être déterminé en fonction du salaire perçu durant la relation contractuelle avec l’ancienne employeuse, soit un montant journalier de CHF 291.53. Or, la résiliation des rapports de travail a été communiquée par courrier du 27 avril 2023 et la demanderesse est tombée en incapacité de travail totale le 8 mai 2023, soit pendant le délai de congé. Dans ce cas de figure, la demanderesse ne bénéficie pas de la présomption de fait en ce sens que sans la maladie qui l’affecte, elle exercerait encore une activité lucrative et qu’elle aurait continué à travailler pour son ancienne employeuse et donc à percevoir le même salaire pendant toute la durée de son incapacité de travail. En d’autres termes, sa perte de gain ne correspond pas à sa perte de salaire auprès de l’ancienne employeuse. Dans sa réplique, la demanderesse a indiqué qu’elle ne remplissait pas les conditions relatives à la durée des cotisations, raison pour laquelle elle ne s’était pas inscrite à l’assurance-chômage (procès-verbal de l’audience du 2 février 2026 p. 3). Dans ce cas, le montant des indemnités journalières de l’assurance perte de</w:t>
      </w:r>
    </w:p>
    <w:p>
      <w:r>
        <w:t>A/2333/2025 - 23/24 - gain ne peut pas être calculé sur la base des indemnités de l’assurance-chômage, faute de perte de gain de remplacement. La demanderesse n’apporte aucune preuve au degré de la vraisemblance prépondérante pour établir que, sans maladie, elle aurait exercé une nouvelle activité professionnelle avec un revenu équivalent à celui auprès de l’ancienne employeuse. Lors de la dernière expertise psychiatrique, elle a déclaré qu’elle consultait des offres de travail auxquelles elle n’avait pas postulé (rapport du</w:t>
      </w:r>
    </w:p>
    <w:p>
      <w:r>
        <w:rPr>
          <w:b/>
        </w:rPr>
        <w:t>E. 6</w:t>
      </w:r>
    </w:p>
    <w:p>
      <w:r>
        <w:t>novembre 2024 p. 10). Lors de l’audience du 2 février 2026, la demanderesse a confirmé que les activités qu’elle avait mentionnées sur les réseaux sociaux (founder and business developer, founder and managing director, ou les activités R______ et de vente de vêtements) étaient destinées à créer des opportunités de contacts qui ne s’étaient pas concrétisées (procès-verbal précité p. 4). La demanderesse ne prouve donc pas qu’elle aurait, au degré de la vraisemblance prépondérante, commencé une nouvelle activité professionnelle ni le montant du salaire qu’elle percevrait (cf. arrêts du Tribunal fédéral 4A_581/2024 du 1er avril 2025 consid. 7.2.2 ; 4A_424/2020 du 19 janvier 2021 consid. 4). Force est de conclure que la preuve d’une perte de gain n’est pas établie par la demanderesse. 4. La demande doit dès lors être rejetée. Pour le surplus, il n'est pas alloué de dépens à la charge de la demanderesse (art. 22 al. 3 let. b de la loi d'application du code civil suisse et d’autres lois fédérales en matière civile du 11 octobre 2012 [LaCC - E 1 05]) ni perçu de frais judiciaires (art. 114 let. e CPC).</w:t>
      </w:r>
    </w:p>
    <w:p>
      <w:r>
        <w:t>A/2333/2025 - 24/24 -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