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ATAS/169/2020 vom 2. März 2020</w:t>
      </w:r>
    </w:p>
    <w:p>
      <w:r>
        <w:t>GE Cour de justice, 2020-03-02, FR</w:t>
      </w:r>
    </w:p>
    <w:p>
      <w:r>
        <w:rPr>
          <w:b/>
        </w:rPr>
        <w:t xml:space="preserve">Quelle: </w:t>
      </w:r>
      <w:r>
        <w:t>https://mcp.opencaselaw.ch/entscheid/ge_gerichte_ATAS_169_2020</w:t>
      </w:r>
    </w:p>
    <w:p>
      <w:r>
        <w:t>FR: GE_GERICHTE ATAS/169/2020 du 2 mars 2020</w:t>
      </w:r>
    </w:p>
    <w:p>
      <w:r>
        <w:t>IT: GE_GERICHTE ATAS/169/2020 del 2 marzo 2020</w:t>
      </w:r>
    </w:p>
    <w:p>
      <w:pPr>
        <w:pStyle w:val="Heading2"/>
      </w:pPr>
      <w:r>
        <w:t>Erwägungen</w:t>
      </w:r>
    </w:p>
    <w:p>
      <w:r>
        <w:rPr>
          <w:b/>
        </w:rPr>
        <w:t>E. 1</w:t>
      </w:r>
    </w:p>
    <w:p>
      <w:r>
        <w:t>Conformément à l'art. 134 al. 1 let. a ch. 8 de la loi sur l'organisation judiciaire, du 26 septembre 2010 (LOJ - E 2 05), la chambre des assurances sociales de la Cour</w:t>
      </w:r>
    </w:p>
    <w:p>
      <w:r>
        <w:t>A/2625/2019 - 4/8 -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du droit à l’indemnité du recourant pour une durée de 31 jours, l’intimé ayant proposé de réduire la sanction de 34 à 31 jours de suspension.</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w:t>
      </w:r>
    </w:p>
    <w:p>
      <w:r>
        <w:t>A/2625/2019 - 5/8 -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w:t>
      </w:r>
    </w:p>
    <w:p>
      <w:r>
        <w:t>A/2625/2019 - 6/8 - 11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c.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d. Selon l’art. 30 al. 2 LACI, l’autorité cantonale prononce les suspensions au sens de l'al. 1 (not. let. c et d). Dans d’autres cas, ce sont les caisses qui statuent.</w:t>
      </w:r>
    </w:p>
    <w:p>
      <w:r>
        <w:rPr>
          <w:b/>
        </w:rPr>
        <w:t>E. 5</w:t>
      </w:r>
    </w:p>
    <w:p>
      <w:r>
        <w:t>a. N’ayant pas postulé pour le poste Junior coordinateur master data - approvisionneur auprès d’Art Computer SA - pour lequel l’ORP lui avait remis une assignation le 13 mars 2019 , le recourant n’a pas satisfait, sur le plan du principe, à l’obligation qu’impose l’art. 17 al. 1 phr. 1 LACI d’entreprendre tout ce qu’on peut raisonnablement exiger de lui pour abréger le chômage. Ne pas donner suite à une assignation à postuler pour un emploi à repourvoir représente en effet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w:t>
      </w:r>
    </w:p>
    <w:p>
      <w:r>
        <w:t>A/2625/2019 - 7/8 - 8C_950/2008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Comme la chambre de céans l’a déjà rappelé (ATAS/648/2017 du 18 juillet 2017 consid. 3b ; ATAS/788/2016 du 4 octobre 2016 consid. 5a ; ATAS/918/2015 du 30 novembre 2015 consid. 6),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L’oubli du recourant justifie ainsi une suspension du droit à l’indemnité de chômage en application de l’art. 30 al. 1 let. d LACI. b. D’après l’art. 45 al. 4 let. b OACI, le refus, sans motif valable, d’un emploi réputé convenable constitue une faute grave, autrement dit implique normalement le prononcé d’une suspension du droit à l’indemnité de chômage pour une durée de 31 à 60 jours (art. 45 al. 3 let. c OACI).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rPr>
          <w:b/>
        </w:rPr>
        <w:t>E. 6</w:t>
      </w:r>
    </w:p>
    <w:p>
      <w:r>
        <w:t>En l’occurrence, comme proposé par l’intimé, il convient de ne pas tenir compte de la sanction antérieure infligée au recourant selon la décision du 17 mars 2017, dès lors qu’elle sort du délai de deux ans précité. En conséquence, la suspension du droit à l’indemnité du recourant sera réduite de 34 à 31 jours, soit à la quotité minimum prévue par l’art. 45 OACI en cas de faute grave.</w:t>
      </w:r>
    </w:p>
    <w:p>
      <w:r>
        <w:rPr>
          <w:b/>
        </w:rPr>
        <w:t>E. 7</w:t>
      </w:r>
    </w:p>
    <w:p>
      <w:r>
        <w:t>Le recours sera partiellement admis et la décision litigieuse réformée dans le sens précité. Pour le surplus la procédure est gratuite.</w:t>
      </w:r>
    </w:p>
    <w:p>
      <w:r>
        <w:t>A/2625/2019 - 8/8 -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