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ATAS/169/2014 vom 10. Februar 2014</w:t>
      </w:r>
    </w:p>
    <w:p>
      <w:r>
        <w:t>GE Cour de justice, 2014-02-10, FR</w:t>
      </w:r>
    </w:p>
    <w:p>
      <w:r>
        <w:rPr>
          <w:b/>
        </w:rPr>
        <w:t xml:space="preserve">Quelle: </w:t>
      </w:r>
      <w:r>
        <w:t>https://mcp.opencaselaw.ch/entscheid/ge_gerichte_ATAS_169_2014</w:t>
      </w:r>
    </w:p>
    <w:p>
      <w:r>
        <w:t>FR: GE_GERICHTE ATAS/169/2014 du 10 février 2014</w:t>
      </w:r>
    </w:p>
    <w:p>
      <w:r>
        <w:t>IT: GE_GERICHTE ATAS/169/2014 del 10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A/3207/2013 - 15/21 -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En l'espèce, la décision litigieuse du 23 septembre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Déposé dans les forme et délai prévus par la loi, le présent recours est recevable (art. 56ss LPGA).</w:t>
      </w:r>
    </w:p>
    <w:p>
      <w:r>
        <w:rPr>
          <w:b/>
        </w:rPr>
        <w:t>E. 5</w:t>
      </w:r>
    </w:p>
    <w:p>
      <w:r>
        <w:t>La question litigieuse est de savoir si la recourante a droit à une rente d’invalidité en raison des troubles dont elle souffre.</w:t>
      </w:r>
    </w:p>
    <w:p>
      <w:r>
        <w:rPr>
          <w:b/>
        </w:rPr>
        <w:t>E. 6</w:t>
      </w:r>
    </w:p>
    <w:p>
      <w:r>
        <w:t>En vertu de l'art. 28 al. 2 LAI, l'assuré a droit à une rente entière s'il est invalide à 70% au moins, à un trois-quart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A/3207/2013 - 16/21 -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A/3207/2013 - 17/21 - sociales, il y a lieu toutefois de poser des exigences sévères quant à l'impartialité de l'expert (ATF 125 V 351 consid. 3b/ee). Bien que les rapports d'examen réalisés par un SMR en vertu de l'art. 49 al. 2 RAI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(ATF non publié 9C_204/2009 du 6 juillet 2009, consid. 3.3.2 et les références, passage non publié in ATF 135 V 254). Cela étant, il convient d'ordonner une expertise si des doutes, mêmes faibles, subsistent quant à la fiabilité et à la pertinence des constatations médicales effectuées par le service médical interne de l'assurance (ATF 135 V 465 consid. 4.6).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(ATFA non publié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A/3207/2013 - 18/21 -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l'occurrence, l'intimé a considéré, en se référant aux conclusions des Drs AB_________ et AC_________, médecins auprès du SMR, que les atteintes à la santé dont souffre la recourante lui permettent d'exercer son activité habituelle à 75%, ce que conteste la recourante. Par rapport d'examen du 16 janvier 2013, les Drs AB_________ et AC_________ ont diagnostiqué, avec répercussion sur la capacité de travail de la recourante, une polyarthrite rhumatoïde séropositive, non érosive. Sans répercussion sur la capacité de travail, l’assurée présentait une personnalité dépendante de type immature (F60.7), un syndrome douloureux somatoforme persistant (F45.4) et une majoration des symptômes physiques pour des raisons psychologiques (F68.0). La polyarthrite rhumatoïde entraînait des limitations fonctionnelles, à savoir pas de travaux de force, pas de travaux de dactylographie prolongée au-delà d’une heure, pas de travail nécessitant un roulement ou un travail de nuit, pas de travail en ambiance froide ou humide et pas de port de charges de plus de 5 kg. La recourante avait une capacité de travail de 75% dans l’activité habituelle d’assistante de direction et dans une activité adaptée, dès mai 2011. La Cour de céans est d'avis que les conclusions des examinateurs ne permettent pas d'apprécier les atteintes à la santé de la recourante et leurs répercussions sur sa capacité de travail, ce pour les raisons qui suivent. Si les examinateurs admettent que la recourante présente une polyarthrite rhumatoïde, ils estiment toutefois que les autres troubles dont elle souffre – la fatigue, les douleurs et les problèmes de concentration et de mémoire – découlent d'atteintes psychiatriques, à savoir un syndrome douloureux somatoforme persistant et une majoration des symptômes physiques pour des raisons psychologiques, la recourante présentant en outre une personnalité immature de type dépendante. Or, force est de constater que sur le plan psychiatrique, le rapport d'examen est particulièrement succinct, puisque l'anamnèse et le status psychiatriques comptent chacun à peine dix lignes. En outre, que ce soit le syndrome douloureux somatoforme persistant ou la majoration des symptômes physiques pour des raisons psychologiques ou la personnalité immature de type dépendante, il convient de relever que ces trois diagnostics ont été retenus sans qu'une motivation claire et détaillée ne soit donnée, de sorte que l'on peine à comprendre comment et sur quelle base ils ont été posés. Qui plus est, il apparaît que le Dr AF_________ aurait procédé en juin 2012 à une évaluation de la recourante sur le plan psychiatrique et qu'il aurait retenu un trouble dépressif récurrent (Dr AA_________, rapport du 22 avril 2013). Or, les examinateurs n'ont ni discuté ce nouvel élément, ni cherché à</w:t>
      </w:r>
    </w:p>
    <w:p>
      <w:r>
        <w:t>A/3207/2013 - 19/21 - prendre connaissance du rapport du Dr AF_________, se contentant de se référer à une évaluation qui remonte à 2004 effectuée par le Dr AE_________ (Dr AB_________, rapport complémentaire du 5 juillet 2013). Par ailleurs, les examinateurs ont écarté tout lien entre l'asthénie et la polyarthrite rhumatoïde ou le traitement médicamenteux au motif notamment que la recourante serait moins fatiguée en vacances ou lorsqu'elle a une petite pause (rapport d'examen du 16 janvier 2013, page 10 et rapport complémentaire du 5 juillet 2013). Or, cela ne correspond pas à l'explication donnée par la recourante aux examinateurs, puisqu'il ressort de l'anamnèse ostéoarticulaire que la fatigue ressentie est identique lorsque la recourante est en vacances (rapport d'examen du 16 janvier 2013, page 5). En outre, le Dr AB_________ justifie l'absence de la mention du syndrome de Sjögren en tant que diagnostic – bien que non contesté - au motif qu'il n'expliquerait pas à lui seul l'asthénie dont souffre la recourante (rapport complémentaire du 5 juillet 2013). Or, cette motivation ne convainc pas non plus la Cour de céans. Il lui appartenait en tous les cas de rappeler ce diagnostic dans le rapport du 16 janvier 2013 et de le discuter quitte à l’écarter en en précisant les motifs. On relèvera encore que s'agissant de l'appréciation de la capacité de travail de la recourante, l'on ne saurait non plus se fonder sur les conclusions des examinateurs. En effet, ceux-ci se sont basés sur un descriptif des tâches que la recourante effectuait au moment de l'examen - soit le 6 novembre 2012 - pour conclure que son activité habituelle est légère et adaptée à ses atteintes (rapport d'examen du 16 janvier 2013 et rapport complémentaire du 5 juillet 2013). Or, il ressortait du dossier en leur possession que l'affection médicale dont elle souffrait avait rendu nécessaire l'établissement d'un nouveau cahier des charges et que son poste avait effectivement été entièrement adapté (Dr AA_________, rapports des 14 septembre 2012 et 22 avril 2013). Il s'ensuit que l'appréciation des examinateurs ne permet pas de déterminer la capacité de travail de la recourante dans son activité habituelle telle qu'elle l'exerçait avant que son cahier des charges ne soit adapté. Au vu de l'ensemble de ces éléments, la Cour de céans est d'avis que le rapport d'examen du 16 janvier 2013 n'a pas la valeur probante suffisante requise par la jurisprudence. Par ailleurs, on ne saurait non plus se fonder sur les avis des autres médecins consultés par la recourante pour déterminer la capacité de travail de la recourante dans son activité habituelle et dans une activité adaptée. En effet, force est de constater que l'on ne sait si, comme l'a supposé le Dr F__________, les troubles neurologiques et la fatigue dont souffre la recourante s'expliquent par le syndrome de Sjögren (rapport du 11 décembre 2012). En outre, vu l'absence de valeur probante de l'examen psychiatrique effectué par les examinateurs du SMR, rien ne permet, en l'état, de retenir ou d'écarter les résultats de l'expertise neuropsychologique effectuée le 20 mars 2012 par Mme N__________. Qui plus est, certaines pièces médicales font état d'éléments en faveur d'une fibromyalgie (rapports des Drs H__________ et J_________ datés respectivement des 16 et 27</w:t>
      </w:r>
    </w:p>
    <w:p>
      <w:r>
        <w:t>A/3207/2013 - 20/21 - août 2012) et d'un état dépressif récurrent (rapport du Dr AA_________ du 22 avril 2013), sans que l'on puisse déterminer, en l'état du dossier, si la recourante présente effectivement de telles atteintes et, le cas échéant, si elles ont des répercussions sur sa capacité de travail et depuis quand. Force est donc de constater que le dossier ne contient pas les éléments utiles permettant une appréciation adéquate de la situation médicale de la recourante. A défaut d’informations fiables et suffisantes sur les troubles dont souffre la recourante, sur les éventuelles limitations fonctionnelles que ces troubles entraînent ainsi que sur leurs répercussions sur la capacité de travail de la recourante, la Cour de céans ne peut se prononcer sur la capacité de travail de la recourante et partant, sur son degré d'invalidité.</w:t>
      </w:r>
    </w:p>
    <w:p>
      <w:r>
        <w:rPr>
          <w:b/>
        </w:rPr>
        <w:t>E. 11</w:t>
      </w:r>
    </w:p>
    <w:p>
      <w:r>
        <w:t>Il convient dès lors de renvoyer la cause à l'intimé afin qu'il ordonne un complément d'instruction sous la forme d'une expertise médicale indépendante auprès d'un spécialiste en rhumatologie, d'un spécialiste en psychiatrie et en neuropsychologie. Les conditions jurisprudentielles d’un tel renvoi sont d’autant plus remplies qu'aucune expertise en rhumatologie et en psychiatrie n'a été réalisée par l’intimé. En cas de nécessité, un stage d'observation professionnelle visant à clarifier le rendement exigible et les activités qui demeurent à la portée de l'intéressée sera également organisé. Une fois ces mesures d'instruction effectuées, il appartiendra à l'intimé d'évaluer le taux d'invalidité et de rendre une nouvelle décision.</w:t>
      </w:r>
    </w:p>
    <w:p>
      <w:r>
        <w:rPr>
          <w:b/>
        </w:rPr>
        <w:t>E. 12</w:t>
      </w:r>
    </w:p>
    <w:p>
      <w:r>
        <w:t>Vu ce qui précède, le recours sera partiellement admis, la décision querellée annulée et le dossier renvoyé à l'autorité administrative afin qu'elle procède conformément aux considérants.</w:t>
      </w:r>
    </w:p>
    <w:p>
      <w:r>
        <w:rPr>
          <w:b/>
        </w:rPr>
        <w:t>E. 13</w:t>
      </w:r>
    </w:p>
    <w:p>
      <w:r>
        <w:t>La recourante, qui est représentée et qui obtient partiellement gain de cause, a droit à une indemnité de 2'000 fr. à titre de participation à ses frais et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au vu du sort du recours, il y a lieu de condamner l'intimé au paiement d'un émolument de 200 fr.</w:t>
      </w:r>
    </w:p>
    <w:p>
      <w:r>
        <w:t>A/3207/2013 - 21/21 -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