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ATAS/168/2022 vom 23. Februar 2022</w:t>
      </w:r>
    </w:p>
    <w:p>
      <w:r>
        <w:t>GE Cour de justice, 2022-02-23, FR</w:t>
      </w:r>
    </w:p>
    <w:p>
      <w:r>
        <w:rPr>
          <w:b/>
        </w:rPr>
        <w:t xml:space="preserve">Quelle: </w:t>
      </w:r>
      <w:r>
        <w:t>https://mcp.opencaselaw.ch/entscheid/ge_gerichte_ATAS_168_2022</w:t>
      </w:r>
    </w:p>
    <w:p>
      <w:r>
        <w:t>FR: GE_GERICHTE ATAS/168/2022 du 23 février 2022</w:t>
      </w:r>
    </w:p>
    <w:p>
      <w:r>
        <w:t>IT: GE_GERICHTE ATAS/168/2022 del 23 febbraio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Compte tenu de ce que l'invalidité dans la sphère professionnelle est évaluée à 25% et que les empêchements pondérés avec exigibilité à 50% représentent 9% (18% : 2), l'invalidité globale est de 34%. Ce taux n'ouvre pas le droit à une rente d'invalidité.</w:t>
      </w:r>
    </w:p>
    <w:p>
      <w:r>
        <w:t>A/3843/2020 - 12/13 -</w:t>
      </w:r>
    </w:p>
    <w:p>
      <w:r>
        <w:rPr>
          <w:b/>
        </w:rPr>
        <w:t>E. 13</w:t>
      </w:r>
    </w:p>
    <w:p>
      <w:r>
        <w:t>Cela étant, le recours sera rejeté.</w:t>
      </w:r>
    </w:p>
    <w:p>
      <w:r>
        <w:rPr>
          <w:b/>
        </w:rPr>
        <w:t>E. 14</w:t>
      </w:r>
    </w:p>
    <w:p>
      <w:r>
        <w:t>Au vu de l'issue du recours, la recourante sera condamnée au paiement d'un émolument de CHF 200.- (art. 69 al. 1bis LAI).</w:t>
      </w:r>
    </w:p>
    <w:p>
      <w:r>
        <w:t>A/3843/2020 - 13/13 -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