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ATAS/168/2010 vom 22. Februar 2010</w:t>
      </w:r>
    </w:p>
    <w:p>
      <w:r>
        <w:t>GE Cour de justice, 2010-02-22, FR</w:t>
      </w:r>
    </w:p>
    <w:p>
      <w:r>
        <w:rPr>
          <w:b/>
        </w:rPr>
        <w:t xml:space="preserve">Quelle: </w:t>
      </w:r>
      <w:r>
        <w:t>https://mcp.opencaselaw.ch/entscheid/ge_gerichte_ATAS_168_2010</w:t>
      </w:r>
    </w:p>
    <w:p>
      <w:r>
        <w:t>FR: GE_GERICHTE ATAS/168/2010 du 22 février 2010</w:t>
      </w:r>
    </w:p>
    <w:p>
      <w:r>
        <w:t>IT: GE_GERICHTE ATAS/168/2010 del 22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w:t>
      </w:r>
    </w:p>
    <w:p>
      <w:r>
        <w:t>A/3169/2008 - 11/20 -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La décision litigieuse a été rendu le 7 juillet 2008. Le recours reçu par l'OAI le 29 août 2009 et transmis au Tribunal de céans conformément à l'art. 64 al. 2 LPA, respecte le délai de 30 jours prévu par l'art. 60 LPGA vu la suspension des délais entre le 15 juillet et le 15 août (art. 38 al. 4 let b LPGA)</w:t>
      </w:r>
    </w:p>
    <w:p>
      <w:r>
        <w:rPr>
          <w:b/>
        </w:rPr>
        <w:t>E. 4</w:t>
      </w:r>
    </w:p>
    <w:p>
      <w:r>
        <w:t>Interjeté dans les forme et délai légaux, le recours est donc recevable.</w:t>
      </w:r>
    </w:p>
    <w:p>
      <w:r>
        <w:rPr>
          <w:b/>
        </w:rPr>
        <w:t>E. 4.3</w:t>
      </w:r>
    </w:p>
    <w:p>
      <w:r>
        <w:t>[B. 25/04], et T. du 17 octobre 2003, consid. 5.2.2 [B 80/01], résumé dans REAS 2004 p. 239).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w:t>
      </w:r>
    </w:p>
    <w:p>
      <w:r>
        <w:t>A/3169/2008 - 13/20 -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arrêt du 24 avril 2006 I 168/05). c)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(ATF non publié du 27 juillet 2005, I 61/05, consid. 4.3 et les références). Le revenu d'invalide doit être évalué avant tout en fonction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VSI 1999 p. 182). La mesure dans laquelle</w:t>
      </w:r>
    </w:p>
    <w:p>
      <w:r>
        <w:t>A/3169/2008 - 14/20 -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V 76 consid. 5b/aa-cc). Selon la jurisprudence, une déduction ne doit pas être opérée automatiquement mais seulement lorsqu'il existe, dans un cas particulier, des indices qui montrent que l'assuré n'est en mesure, en raison de l'un ou l'autre de ces éléments, de mettre en valeur sa capacité de travail résiduelle qu'avec des perspectives de gain inférieures à la moyenne (ATF 126 V 79 s. consid. 5b/aa). D'une manière tout à fait générale, il convient d'évaluer globalement l'influence de tous les facteurs (limitations liées au handicap, âge, années de service, nationalité/catégorie d'autorisation de séjour et taux d'occupation) sur le revenu d'invalide, en tenant compte des circonstances du cas particulier dans les limites du pouvoir d'appréciation (ATF 126 V 80 consid. 5b/bb et les références).</w:t>
      </w:r>
    </w:p>
    <w:p>
      <w:r>
        <w:rPr>
          <w:b/>
        </w:rPr>
        <w:t>E. 5</w:t>
      </w:r>
    </w:p>
    <w:p>
      <w:r>
        <w:t>a)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21 mars 2003 modifiant la LAI (4e révision) et celles de la novelle du 6 octobre 2006 (5e révision), entrées respectivement en vigueur les 1er janvier 2004 (RO 2003 3852) et 1er janvier 2008 (RO 2007 5147), sont régies par ce principe. C’est encore le lieu de préciser que, selon une jurisprudence constante, le juge des assurances sociales apprécie la légalité des décisions attaquées, en règle générale, d’après l’état de fait existant au moment où la décision litigieuse a été rendue(ATF 121 V 366 consid. 1b et les références). b)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w:t>
      </w:r>
    </w:p>
    <w:p>
      <w:r>
        <w:rPr>
          <w:b/>
        </w:rPr>
        <w:t>E. 6</w:t>
      </w:r>
    </w:p>
    <w:p>
      <w:r>
        <w:t>La question litigieuse est celle de savoir si c'est à bon droit que l'OAI a refusé d'allouer au recourant des prestations.</w:t>
      </w:r>
    </w:p>
    <w:p>
      <w:r>
        <w:rPr>
          <w:b/>
        </w:rPr>
        <w:t>E. 7</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w:t>
      </w:r>
    </w:p>
    <w:p>
      <w:r>
        <w:t>A/3169/2008 - 12/20 - assurances sociales, est une notion économique et non médicale; ce sont les conséquences économiques objectives de l'incapacité fonctionnelle qu'il importe d'évaluer (ATF 110 V 275 consid. 4a, 105 V 207 consid. 2). b) Selon l'art. 28 al. 1 LAI dans sa teneur en vigueur dès le 1er janvier 2004, l'assuré a droit à une rente entière s'il est invalide à 70 % au moins, à un trois-quarts de rente s'il est invalide à 60 % au moins, à une demi-rente s'il est invalide à 50 % au moins, ou à un quart de rente s'il est invalide à 40 % au moins.</w:t>
      </w:r>
    </w:p>
    <w:p>
      <w:r>
        <w:rPr>
          <w:b/>
        </w:rPr>
        <w:t>E. 8</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 136 consid. 2a et 2b; art. 28 al. 2 LAI dans la teneur en vigueur jusqu’au 31 décembre 2007 en corrélation avec l'art. 16 LPGA). Pour procéder à la comparaison des revenus, il convient de se placer au moment de la naissance du droit à une éventuelle rente de l'assurance-invalidité, soit généralement une année après le début de l’incapacité de travail significative (art. 29 al. 1 let. b LAI dans sa teneur en vigueur jusqu’au 31 décembre 2007). Aussi longtemps que l’assuré peut prétendre à une indemnité journalière au sens de l’art. 22 LAI, le droit à une rente ne prend pas naissance (art. 29 al. 2 LAI dans sa teneur en vigueur jusqu'au 31 décembre 2007).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(ATF 129 V 222). b) Pour fixer le revenu sans invalidité, il faut établir ce que l'assuré aurait, au degré de la vraisemblance prépondérante, réellement pu obtenir au moment déterminant s'il n'était pas invalide (RAMA 2000 n° U 400 p. 381 consid. 2a et la référence, 1993 n° U 168 p. 100 consid. 3b et la référence). Le revenu sans invalidité doit être évalué de la manière la plus concrète possible; c'est pourquoi il se déduit en principe du salaire réalisé en dernier lieu par l'assuré avant l'atteinte à la santé, en tenant compte de l'évolution des salaires (cf. arrêts M. du 26 janvier 2006, consid.</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A/3169/2008 - 15/20 -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b) Les organes d'observation professionnelle ont pour fonction de compléter les données médicales en examinant concrètement dans quelle mesure l'assuré est à même de mettre en valeur une capacité de travail et de gain sur le marché du travail (ATF non publié du 21 janvier 2008, I 133/07 et I 145/07, consid. 2.2).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w:t>
      </w:r>
    </w:p>
    <w:p>
      <w:r>
        <w:t>A/3169/2008 - 16/20 -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w:t>
      </w:r>
    </w:p>
    <w:p>
      <w:r>
        <w:rPr>
          <w:b/>
        </w:rPr>
        <w:t>E. 10</w:t>
      </w:r>
    </w:p>
    <w:p>
      <w:r>
        <w:t>L’assurance-invalidité et l’assurance-chômage ne sont pas deux branches d’assurance complémentaires. Ainsi, le taux de la capacité de gain résiduelle d’une personne handicapée, sur lequel on se base pour calculer le gain assuré, ajouté au degré d’invalidité calculé conformément à la LAI, ne doit pas nécessairement être toujours égal à 100%. Les organes de l’assurance-chômage déterminent l’aptitude au placement des personnes handicapées de manière essentiellement autonome, en collaboration avec les organes compétents de l’assurance-invalidité. À l’inverse, les décisions rendues par les organes de l’assurance-chômage au sujet de l’aptitude au placement des personnes handicapées n’ont pas d’influence sur l’évaluation de leur capacité de travail et de gain effectuée par les organes de l’assurance-invalidité (art. 28a al. 1er LAI, art. 15 LACI, art. 15 al. 1 et 3 OACI).</w:t>
      </w:r>
    </w:p>
    <w:p>
      <w:r>
        <w:rPr>
          <w:b/>
        </w:rPr>
        <w:t>E. 11</w:t>
      </w:r>
    </w:p>
    <w:p>
      <w:r>
        <w:t>En l'espèce, les conclusions des Drs N________ et N________ de la CRR du 28 novembre 2007 reposent sur un examen du recourant durant plus d'un mois, à savoir du 2 octobre au 13 novembre 2007; elles se fondent sur une observation approfondie et pluridisciplinaire. Au surplus, les experts ont tenu compte des plaintes et difficultés exprimées par le recourant. Elles apparaissent ainsi tout à fait convaincantes et il n'existe pas d'autres évaluations médicales permettant de remettre en cause leur bien fondé. A cet égard, les conclusions auxquelles arrivent les Drs N________ et N________ sont similaires à celles des rapports médicaux du Dr L________ des 17 juillet et 19 novembre 2007. En effet, le Dr L________ indique qu'il ne peut plus être exigé de l'assuré qu'il exerce son activité de manœuvre mais que la capacité de travail de celui-ci, dans une activité adaptée, est entière. De même en est-il de celles du Dr P________ (rapports des 21 août 2007 et du 22 janvier 2008). La Dresse O________ a ajouté que l'assuré ne souffrait d'aucune pathologie psychologique pouvant influencer sa capacité de travail. Par ailleurs, le rapport final des ateliers professionnels du 16 octobre 2007 a confirmé les avis des médecins susmentionnés en estimant la capacité résiduelle de travail dans un poste adapté également à 100 %. Quant au certificat médial établi par la Dresse R________ le 29 septembre 2008, celle-ci indique que le recourant souffre de cervico-lombalgies chroniques depuis 2002, sur troubles statiques et dégénératifs du rachis et qu'il ne peut ainsi plus effectuer de travaux lourds, ni porter des charges lourdes et doit pouvoir changer fréquemment de position. A cet égard, les pathologies qui y sont décrites ne sont pas de nature à modifier l'appréciation quant à la capacité de travail du recourant, dès lors que les limitations en raison des ces troubles sont identiques à</w:t>
      </w:r>
    </w:p>
    <w:p>
      <w:r>
        <w:t>A/3169/2008 - 17/20 - celles retenues par les médecins de la CRR, dans leur rapport du 28 novembre 2007. Les conclusions du rapport de stage effectué aux EPI sont toutefois en contradiction avec les conclusions médicales précitées dès lors que le constat que l'assuré n'est pas employable dans des activités industrielles légères se réfère à un manque de polyvalence, de dextérité manuelle et de rapidité et au fait que la gestuelle n'a pas encore été transférée du côté gauche, l'engagement de l'intéressé ayant par ailleurs été jugé comme très bon. Cependant, conformément à la jurisprudence précitée, les considérations médicales priment l'observation professionnelle dans la détermination de la capacité de travail de sorte que celle-ci ne saurait remettre en cause les conclusions de la CRR. En outre, les raisons évoquées suite à l'observation professionnelle pour expliquer que l'assuré n'est pas adapté pour un poste tertiaire (comme un poste de bureau simple) ne relèvent pas de constatations médicales mais du manque de niveau scolaire, en français et informatique, du recourant. A cet égard, il sera rappelé que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Par conséquent, les conclusions auxquelles arrive le rapport d'observation professionnelle ne sauraient être retenues. Par conséquent, le rapport d'expertise précité doit se voir reconnaître pleine valeur probante. Il convient ainsi de retenir que l'incapacité de travail dans l'activité de manœuvre est totale mais que, dans une activité plus légère, la capacité de travail du recourant demeure complète.</w:t>
      </w:r>
    </w:p>
    <w:p>
      <w:r>
        <w:rPr>
          <w:b/>
        </w:rPr>
        <w:t>E. 12</w:t>
      </w:r>
    </w:p>
    <w:p>
      <w:r>
        <w:t>Reste à examiner si le calcul du degré d'invalidité effectué par l'OAI est correct. En l'espèce, l'année de référence pour le calcul du degré d'invalidité est l'année 2008, le droit à une éventuelle rente pouvant naître au plus tôt en janvier 2008, l'incapacité de travail ayant débuté le 24 janvier 2007. Le revenu sans invalidité doit se fonder sur le revenu effectivement réalisé par l'assuré. X__________ SA a déclaré un revenu 2006 de 63'773 fr., lequel correspond également à celui indiqué par la Caisse cantonale genevoise de compensation et par la CPICC. Il convient en conséquence de s'y référer mais de l'adapter à l'évolution des salaires jusqu'en 2008 (La vie économique - 11-2009 p. 95, tableau B 10.2, domaine de la construction F; ATF du 10 octobre 2003 I 412/03) de sorte que le revenu sans invalidité à prendre en considération en 2008 est de 66'154 fr. (+1,7 % en 2007 et + 2 % en 2008).</w:t>
      </w:r>
    </w:p>
    <w:p>
      <w:r>
        <w:t>A/3169/2008 - 18/20 - Pour le revenu avec invalidité, l'assuré n'ayant pas repris d'activité lucrative, il y a lieu de se référer aux données de l'Enquête suisse sur la structure des salaires (ESS) pour 2008. Eu égard à l'activité de substitution dans un emploi adapté à savoir une activité légère sans port de charges ou gestes répétitifs et permettant notamment des changements de positions, le salaire de référence pour des activités simples et répétitives pour les hommes dans le secteur privé (ESS 2008 TA 1, p. 11, niveau de qualification 4) s'élève à 4'806 fr. par mois, respectivement 57'672 fr. par an. Compte tenu de l'horaire de travail hebdomadaire dans les entreprises en 2008, soit 41.6 heures (cf. La Vie économique tableau B.9.2) alors que le salaire statistique est fondé sur un horaire de travail hebdomadaire de 40 heures, le salaire a retenir est de 59'979 fr. Enfin, au vu des importantes limitations liées au handicap du recourant, de sa situation, actuellement sans permis de travail, et de sa longue activité comme manœuvre auprès de X__________ SA (depuis août 1990), il y a lieu de lui appliquer une déduction globale de 15 % en lieu et place de celle de 10 % (cf. à cet égard ATF du 22 septembre 2005 I 54/05 et du 17 janvier 2006 I 700/04), de sorte que le revenu d'invalide est finalement de 50'982 fr. Comparé au revenu sans invalidité de 66'154 fr., il en découle un degré d'invalidité de 22,93 %, arrondi à 23 % (ATF 130 V 121).</w:t>
      </w:r>
    </w:p>
    <w:p>
      <w:r>
        <w:rPr>
          <w:b/>
        </w:rPr>
        <w:t>E. 13</w:t>
      </w:r>
    </w:p>
    <w:p>
      <w:r>
        <w:t>a) Le taux d'invalidité de 23 % est insuffisant pour ouvrir droit à une rente d'invalidité. Il permet en revanche au recourant de pouvoir bénéficier d'une mesure de reclassement dans une nouvelle profession, la jurisprudence ayant précisé qu'il était notamment nécessaire de présenter une perte de gain de 20 % environ pour pouvoir bénéficier d'une mesure de reclassement (ATF 124 V 108). L'assuré a droit au reclassement dans une nouvelle profession si son invalidité rend cette mesure nécessaire et que sa capacité de gain peut ainsi, selon toute vraisemblance, être maintenue ou améliorée (art. 17 al. 1 LAI).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Une mesure de reclassement ne saurait être efficace que si la personne à laquelle elle est destinée est susceptible, au moins partiellement, d'être réadaptée (ATF du 16 février 2007 I 170/06). b) Lors du stage effectué aux EPI, l'engagement du recourant a été jugé comme très bon et l'intimé a constaté que l'assuré pouvait bénéficier de l'aide du service de placement car il s'était montré motivé pour retrouver un emploi à 100 %. Ainsi, du</w:t>
      </w:r>
    </w:p>
    <w:p>
      <w:r>
        <w:t>A/3169/2008 - 19/20 - point de vue subjectif, il n'y a pas de raison de penser que le recourant ne serait pas motivé par une mesure de reclassement. D'un point de vue objectif, le recourant présente des difficultés en français et en informatique attestées lors de l'observation professionnelle. Par ailleurs, il fait l'objet d'une décision de renvoi du 19 octobre 2009 laquelle n'est cependant pas exécutoire puisque pendante par devant la commission cantonale de recours en matière administrative, de sorte qu'il est encore possible que le recourant obtienne une autorisation de séjourner en Suisse ou, à tout le moins, puisse, au vu de la longueur de la procédure, y résider encore plusieurs années. Compte tenu de tous ces éléments, il incombera à l'intimé d'examiner rapidement la possibilité d'octroyer au recourant une mesure de reclassement.</w:t>
      </w:r>
    </w:p>
    <w:p>
      <w:r>
        <w:rPr>
          <w:b/>
        </w:rPr>
        <w:t>E. 14</w:t>
      </w:r>
    </w:p>
    <w:p>
      <w:r>
        <w:t>Dans ces conditions, le recours sera partiellement admis et la décision de l'OAI du 7 juillet 2008 annulée dans la mesure où elle refuse toute mesure de reclassement au recourant au motif que son degré d'invalidité est inférieur à 20 %. La cause sera renvoyée à l'intimé pour nouvelle décision sur le droit du recourant à une mesure de reclassement. Un émolument de 500 fr. sera mis à la charge de l'OAI.</w:t>
      </w:r>
    </w:p>
    <w:p>
      <w:r>
        <w:t>A/3169/2008 - 20/20 -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