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ATAS/167/2025 vom 19. März 2025</w:t>
      </w:r>
    </w:p>
    <w:p>
      <w:r>
        <w:t>GE Cour de justice, 2025-03-19, FR</w:t>
      </w:r>
    </w:p>
    <w:p>
      <w:r>
        <w:rPr>
          <w:b/>
        </w:rPr>
        <w:t xml:space="preserve">Quelle: </w:t>
      </w:r>
      <w:r>
        <w:t>https://mcp.opencaselaw.ch/entscheid/ge_gerichte_ATAS_167_2025</w:t>
      </w:r>
    </w:p>
    <w:p>
      <w:r>
        <w:t>FR: GE_GERICHTE ATAS/167/2025 du 19 mars 2025</w:t>
      </w:r>
    </w:p>
    <w:p>
      <w:r>
        <w:t>IT: GE_GERICHTE ATAS/167/2025 del 19 marzo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1.3</w:t>
      </w:r>
    </w:p>
    <w:p>
      <w:r>
        <w:t>Le délai de recours est de trente jours (art. 56 LPGA ; art. 62 al. 1 de la de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w:t>
      </w:r>
    </w:p>
    <w:p>
      <w:r>
        <w:rPr>
          <w:b/>
        </w:rPr>
        <w:t>E. 2</w:t>
      </w:r>
    </w:p>
    <w:p>
      <w:r>
        <w:t>Le litige porte sur le point de savoir si l’intimée était fondée à mettre un terme au paiement des prestations d'assurance au 22 janvier 2023.</w:t>
      </w:r>
    </w:p>
    <w:p>
      <w:r>
        <w:rPr>
          <w:b/>
        </w:rPr>
        <w:t>E. 3.1</w:t>
      </w:r>
    </w:p>
    <w:p>
      <w:r>
        <w:t>Selon l'art. 6 al. 1 LAA, les prestations d'assurance sont allouées en cas d'accident professionnel, d'accident non professionnel et de maladie</w:t>
      </w:r>
    </w:p>
    <w:p>
      <w:r>
        <w:t>A/1376/2024 - 8/17 -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3.2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 RAMA 1999 n° U 341 p. 408, consid. 3b). Il convient en principe d'en rechercher l'étiologie et de vérifier, sur cette base, l'existence du rapport de causalité avec l'événement assuré.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w:t>
      </w:r>
    </w:p>
    <w:p>
      <w:r>
        <w:t>A/1376/2024 - 9/17 -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w:t>
      </w:r>
    </w:p>
    <w:p>
      <w:r>
        <w:rPr>
          <w:b/>
        </w:rPr>
        <w:t>E. 3.3</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w:t>
      </w:r>
    </w:p>
    <w:p>
      <w:r>
        <w:rPr>
          <w:b/>
        </w:rPr>
        <w:t>E. 3.4</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w:t>
      </w:r>
    </w:p>
    <w:p>
      <w:r>
        <w:t>A/1376/2024 - 10/17 - non seulement en tenant compte de personnes saines tant sur le plan psychique que physique, mais également en tenant compte de personnes avec une prédisposition constitutionnelle (ATF 115 V 403 consid. 4b).</w:t>
      </w:r>
    </w:p>
    <w:p>
      <w:r>
        <w:rPr>
          <w:b/>
        </w:rPr>
        <w:t>E. 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w:t>
      </w:r>
    </w:p>
    <w:p>
      <w:r>
        <w:t>Dans le contexte de la suppression du droit à des prestations d'assurance sociales, le fardeau de la preuve incombe en principe à l'assureur-accidents (cf.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 comme ayant disparu (arrêt du Tribunal fédéral 8C_343/2022 du 11 octobre 2022 consid. 3.2 et les références).</w:t>
      </w:r>
    </w:p>
    <w:p>
      <w:r>
        <w:rPr>
          <w:b/>
        </w:rPr>
        <w:t>E. 7</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w:t>
      </w:r>
    </w:p>
    <w:p>
      <w:r>
        <w:t>A/1376/2024 - 11/17 -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8.1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8.2</w:t>
      </w:r>
    </w:p>
    <w:p>
      <w:r>
        <w:t>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w:t>
      </w:r>
    </w:p>
    <w:p>
      <w:r>
        <w:t>A/1376/2024 - 12/17 -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ATF 135 V 465 consid. 4).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w:t>
      </w:r>
    </w:p>
    <w:p>
      <w:r>
        <w:t>A/1376/2024 - 13/17 -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ATF 122 V 157 consid. 1d).</w:t>
      </w:r>
    </w:p>
    <w:p>
      <w:r>
        <w:rPr>
          <w:b/>
        </w:rPr>
        <w:t>E. 10.1</w:t>
      </w:r>
    </w:p>
    <w:p>
      <w:r>
        <w:t>En l’occurrence, l'intimée a supprimé les prestations d'assurance avec effet ex nunc et pro futuro au 22 janvier 2023, en s'appuyant sur les avis de ses médecins- conseils, les Drs G______ et H______. Elle a conclu que les effets délétères de l’atteinte au genou gauche consécutive à l'accident avaient cessé au plus tard trois mois après celui-ci. Les effets postérieurs étaient liés à un état maladif préexistant décompensé par l’accident. L’assurée s’y oppose en se référant aux avis de ses médecins, les Drs E_____ et I______, qui retiennent pour leur part l’existence d’une causalité naturelle entre l’atteinte persistant au genou gauche, soit la chondropathie rotulienne, et l’accident du 22 octobre 2022.</w:t>
      </w:r>
    </w:p>
    <w:p>
      <w:r>
        <w:rPr>
          <w:b/>
        </w:rPr>
        <w:t>E. 10.2</w:t>
      </w:r>
    </w:p>
    <w:p>
      <w:r>
        <w:t>Les conclusions des médecins-conseils et des médecins traitants de la recourante s’opposant, il y a lieu de commencer par en examiner la valeur probante. Les circonstances de l’accident ne sont pas contestées. De même, il sied de rappeler que les examens suite à la chute ont permis d’établir comme diagnostics des contusions multiples avec un traumatisme crânien simple. La radiographie du</w:t>
      </w:r>
    </w:p>
    <w:p>
      <w:r>
        <w:t>A/1376/2024 - 14/17 - genou du 24 octobre 2022 a écarté une fracture et a mis en évidence une tuméfaction des tissus mous pré-rotuliens sans corps étranger radio-opaque. La recourante s’est soumise à trois IRM du genou gauche, la première le 9 novembre 2022, soit une environ deux semaines après l’accident. Selon le rapport y relatif, il est objectivé un œdème à proximité de la tubérosité tibiale pouvant corréler un élément post-contusionnel. Il est mentionné l’absence d’altération manifeste des cartilages articulaires des compartiments fémorotibiaux, et d’épanchement intra-articulaire. Il est toutefois constaté une ulcération cartilagineuse focale d’environ 5 mm au niveau de la portion latérale de la facette rotulienne interne s’accompagnant d’un remodelage kystique sous-chondral compatible avec une chondropathie de grade IV. Il est conclu essentiellement à une contusion des tissus mous pré-rotuliens et une contusion osseuse ainsi qu’à une chondropathie. L’IRM du 8 février 2023, réalisée pour contrôle de l’évolution d’une chondropathie rotulienne, a mis en évidence la disparition quasi-complète des phénomènes oedémateux précédemment décrits au niveau de la tubérosité tibiale antérieure. Il était noté une augmentation de la taille de l’ulcération focale de la ligne interfacettaire s’accompagnant d’un remodelage oedémateux et microkystique sous-chondral. À ce stade, il sied de relever que, dans son rapport du 21 février 2023, le Dr E_____ notait que les plaies et les lésions post-contusionnelles avaient évolué très favorablement, la diminution de la capacité de travail étant mise en lien avec la lésion ou l’ulcération cartilagineuse, soit en d’autres termes la chondropathie rotulienne. Le Dr E_____ mentionnait avoir constaté un épanchement intra- articulaire modéré lors de la première consultation du 3 novembre 2022. L’IRM du 21 septembre 2023 a, quant à lui, confirmé l’absence d’anomalie osseuse et d’épanchement. L’imagerie a mis en évidence une augmentation de la taille de l’ulcération cartilagineuse présente au niveau de la portion moyenne de la ligne interfacettaire de la rotule et la disparition des phénomènes oedèmateux. Dans son rapport du 29 mai 2023, le Dr G_____ a conclu que l’accident n’avait provoqué qu’une contusion du genou, dont les effets avaient disparu après trois mois, ce qui était confirmé par l’IRM de février 2023. Les plaintes persistant après cette date étaient liées à la chondropathie rotulienne qu’il qualifiait de dégénérative, l’accident n’avait concrètement qu’aggravé temporairement un état préexistant, ce qui était confirmé par l’IRM des cuisses de juillet 2020 où on pouvait d’ores et déjà voir une chondropathie. Dans son rapport du 21 janvier 2024, le Dr G_____ a confirmé sa position et développé que le remodelage kystique ostéochondral était typique de lésions dégénératives. Pour répondre aux arguments soulevés par le Dr E_____ dans son rapport du 17 juin 2023, dont il sera discuté ci-après, le Dr G_____ faisait remarquer que l’IRM du 9 novembre 2022 avait mis en évidence une</w:t>
      </w:r>
    </w:p>
    <w:p>
      <w:r>
        <w:t>A/1376/2024 - 15/17 - dégénérescence avec des kystes sous-chondraux, ce qui était impossible en deux semaines. Dans le cadre de la procédure de recours, l’intimée a soumis le dossier de la recourante a un autre de ses médecins-conseil, soit le Dr H______ qui a confirmé les conclusions du Dr G_____. Dans son rapport du 7 juin 2024, le Dr H______ a expliqué ce qu’était une chondropathie, en précisant qu’effectivement une telle lésion pouvait être d’origine traumatique ou dégénérative. Il a développé les critères permettant de distinguer une lésion maladie d’une lésion traumatique, puis les a appliqués au cas d’espèce pour déterminer la qualification à retenir. Il a ainsi rappelé que l’IRM du 9 novembre 2022 avait mis en évidence une contusion pré-rotulienne des tissus mous, une contusion osseuse de la tubérosité tibiale antérieure, une chondrite de degré IV avec ulcération de la facette médiale de la rotule, un kyste sous chondral en regard de la lésion cartilagineuse rotulienne, l’absence d’œdème osseux rotulien, d’épanchement intra-articulaire et de fragment libre intra-articulaire. La présence d’un kyste intra osseux en regard de la lésion cartilagineuse traduisait une évolution de plusieurs années, une telle lésion n’ayant pas pu se développer en deux semaines. À cela s’ajoutait que l’IRM de 2020 démontrait la présence de ce kyste non seulement à gauche, mais également à droite et mettait en évidence des signes de chondropathie rotulienne aux deux genoux. L’IRM du 21 septembre 2023 renforçait sa position, en ce sens que la chondropathie rotulienne avait tendance à s’aggraver ce qui était le processus habituel d’une telle lésion dégénérative. Selon la jurisprudence,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(arrêt du Tribunal fédéral 8C_469/2020 du 26 mai 2021 consid. 3.2 et les références).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l’espèce, il apparaît à l’analyse des trois rapports des médecins de l’intimée que la situation médicale a été analysée de manière détaillée, les conclusions ont été motivées et s’expliquent par l’étude circonstanciée du dossier. Il sied dès lors de constater qu’ils remplissent les critères jurisprudentiels pour se voir reconnaître pleine valeur probante, l’absence d’examen clinique ne permettant pas de remettre en cause leurs conclusions.</w:t>
      </w:r>
    </w:p>
    <w:p>
      <w:r>
        <w:t>A/1376/2024 - 16/17 - De son côté, la recourante fait valoir l’avis de ses médecins, les Drs E_____ et I______, qui concluent que la chondropathie résulte de l’accident d’octobre 2022. La Cour procédera dès lors à l’analyse des rapports des 17 juin 2023, 23 août et 20 septembre 2024. S’agissant tout d’abord des rapports des 17 juin 2023 et 20 septembre 2024, force est de constater que les Drs I______ et E_____ expliquent le caractère post- traumatique en se basant sur l’absence de plainte avec celui-ci et la dynamique de l’accident, ce dernier admettant toutefois que les lésions constatées pouvaient ressembler à des atteintes dégénératives. Conformément à la jurisprudence précitée, le fait que des symptômes douloureux ne se sont manifestés qu'après la survenance d'un accident ne suffit pas à établir un rapport de causalité naturelle avec cet accident. Par ailleurs, les Drs I______ et E_____ n’argumentent pas en s’appuyant sur des données ou éléments médicaux au dossier, étant précisé que ce dernier a indiqué qu’il n’y avait pas d’antécédent traumatique alors que l’IRM des cuisses de juillet 2020 avait été réalisée à sa demande en raison d’une chute. S’agissant du rapport du 23 août 2024, il sied de relever qu’à nouveau le Dr E_____ s’appuie essentiellement sur le fait qu’avant l’accident, la recourante avait pu faire des randonnées en montagne et exercer sa profession qui impliquait d’importants ports de charge et ce, sans limitation avant l’accident, À ce stade, la Cour de céans soulignera que le Dr E_____, qui a eu connaissance de l’IRM de juillet 2020, dont les Drs G_____ et H______ indiquent à plusieurs reprises qu’elle atteste de la présence d’un kyste et de signes de chondropathie, soit bien avant l’accident, n’a ni discuté ni contesté cet élément objectif et important puisqu’il démontre l’existence d’un état préexistant correspondant aux conclusions de l’intimée. Par conséquent, les rapports des Drs E_____ ET I______ ne peuvent pas se voir reconnaître pleine valeur probante contrairement à ceux des Drs G_____ et H______. Ainsi, il n’existe aucun élément concret permettant de s’écarter des conclusions claires des Drs G_____ et H______. Partant, la Cour de céans considère qu’il est établi, au degré de la vraisemblance prépondérante, que les troubles persistant au genou de la recourante ne sont plus en lien de causalité naturelle avec l’accident postérieurement au 22 janvier 2023. Ainsi, la mise en œuvre d’une expertise, demandée par la recourante, s’avère superflue par appréciation anticipée des preuves. Pour ces motifs, la décision litigieuse doit être confirmée.</w:t>
      </w:r>
    </w:p>
    <w:p>
      <w:r>
        <w:rPr>
          <w:b/>
        </w:rPr>
        <w:t>E. 11</w:t>
      </w:r>
    </w:p>
    <w:p>
      <w:r>
        <w:t>Au vu de ce qui précède, le recours est rejeté. Pour le surplus, la procédure est gratuite (art. 61 let. fbis LPGA a contrario).</w:t>
      </w:r>
    </w:p>
    <w:p>
      <w:r>
        <w:t>A/1376/2024 - 17/17 -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