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ATAS/167/2024 vom 29. Februar 2024</w:t>
      </w:r>
    </w:p>
    <w:p>
      <w:r>
        <w:t>GE Cour de justice, 2024-02-29, FR</w:t>
      </w:r>
    </w:p>
    <w:p>
      <w:r>
        <w:rPr>
          <w:b/>
        </w:rPr>
        <w:t xml:space="preserve">Quelle: </w:t>
      </w:r>
      <w:r>
        <w:t>https://mcp.opencaselaw.ch/entscheid/ge_gerichte_ATAS_167_2024</w:t>
      </w:r>
    </w:p>
    <w:p>
      <w:r>
        <w:t>FR: GE_GERICHTE ATAS/167/2024 du 29 février 2024</w:t>
      </w:r>
    </w:p>
    <w:p>
      <w:r>
        <w:t>IT: GE_GERICHTE ATAS/167/2024 del 29 febbraio 2024</w:t>
      </w:r>
    </w:p>
    <w:p>
      <w:pPr>
        <w:pStyle w:val="Heading2"/>
      </w:pPr>
      <w:r>
        <w:t>Volltext</w:t>
      </w:r>
    </w:p>
    <w:p>
      <w:r>
        <w:t>Siégeant : Eleanor McGREGOR, Présidente</w:t>
      </w:r>
    </w:p>
    <w:p>
      <w:r>
        <w:t>RÉPUBLIQUE ET</w:t>
      </w:r>
    </w:p>
    <w:p>
      <w:r>
        <w:t>CANTON DE GEN ÈVE POUVOIR JUDICIAIRE</w:t>
      </w:r>
    </w:p>
    <w:p>
      <w:r>
        <w:t>A/4068/2023 ATAS/167/2024 COUR DE JUSTICE Chambre des assurances sociales Décision sur rectification du 15 mars 2024 Chambre 9</w:t>
      </w:r>
    </w:p>
    <w:p>
      <w:r>
        <w:t>En la cause A______</w:t>
      </w:r>
    </w:p>
    <w:p>
      <w:r>
        <w:t>recourant</w:t>
      </w:r>
    </w:p>
    <w:p>
      <w:r>
        <w:t>contre MUTUEL ASSURANCE MALADIE SA</w:t>
      </w:r>
    </w:p>
    <w:p>
      <w:r>
        <w:t>intimée</w:t>
      </w:r>
    </w:p>
    <w:p>
      <w:r>
        <w:t>A/4068/2023 - 2/3 - Attendu en fait que, par arrêt du 29 février 2024 (ATAS/131/2024), la chambre des assurances sociales de la Cour de justice a rendu sans objet le recours interjeté le 5 décembre 2023 par Monsieur A______ (recourant), contre une décision sur opposition du 2 novembre 2023 de MUTUEL ASSURANCE MALADIE SA, membre du GROUPE MUTUEL. Que l’arrêt mentionne comme intimée le GROUPE MUTUEL ASSURANCE GMA SA. Que par courrier du 12 mars 2024, MUTUEL ASSURANCE MALADIE SA a requis la rectification de l’arrêt précité dans le sens qu’elle figure comme partie intimée, en lieu et place du GROUPE MUTUEL ASSURANCE GMA SA.</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décision sur opposition du 2 novembre 2023 a été rendue par MUTUEL ASSURANCE MALADIE SA, de sorte que celle-ci doit figurer comme intimée, en lieu et place du GROUPE MUTUEL ASSURANCE GMA SA. Qu’il convient en conséquence de déclarer la demande recevable et de rectifier l’arrêt du 29 février 2024, en ce sens que la partie intimée est MUTUEL ASSURANCE MALADIE SA.</w:t>
      </w:r>
    </w:p>
    <w:p>
      <w:r>
        <w:t>A/4068/2023 - 3/3 - PAR CES MOTIFS, LA CHAMBRE DES ASSURANCES SOCIALES : Statuant A la forme : 1. Déclare recevable la requête en rectification déposée par MUTUEL ASSURANCE MALADIE SA le 12 mars 2024. Au fond : 2. L’admet. 3. Rectifie le nom de la partie intimée GROUPE MUTUEL ASSURANCE GMA SA en MUTUEL ASSURANCE MALADIE SA. 4. Dit qu’il n’est pas perçu d’émolument.</w:t>
      </w:r>
    </w:p>
    <w:p>
      <w:r>
        <w:t>La greffière</w:t>
      </w:r>
    </w:p>
    <w:p>
      <w:r>
        <w:t>Sylvie CARDINAUX</w:t>
      </w:r>
    </w:p>
    <w:p>
      <w:r>
        <w:t>La présidente</w:t>
      </w:r>
    </w:p>
    <w:p>
      <w:r>
        <w:t>Eleanor McGREGOR</w:t>
      </w:r>
    </w:p>
    <w:p>
      <w:r>
        <w:t>Une copie conforme de cette décision et de l’arrêt rectifié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