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ATAS/167/2019 vom 25. Februar 2019</w:t>
      </w:r>
    </w:p>
    <w:p>
      <w:r>
        <w:t>GE Cour de justice, 2019-02-25, FR</w:t>
      </w:r>
    </w:p>
    <w:p>
      <w:r>
        <w:rPr>
          <w:b/>
        </w:rPr>
        <w:t xml:space="preserve">Quelle: </w:t>
      </w:r>
      <w:r>
        <w:t>https://mcp.opencaselaw.ch/entscheid/ge_gerichte_ATAS_167_2019</w:t>
      </w:r>
    </w:p>
    <w:p>
      <w:r>
        <w:t>FR: GE_GERICHTE ATAS/167/2019 du 25 février 2019</w:t>
      </w:r>
    </w:p>
    <w:p>
      <w:r>
        <w:t>IT: GE_GERICHTE ATAS/167/2019 del 25 febbraio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en temps utile, le recours est recevable.</w:t>
      </w:r>
    </w:p>
    <w:p>
      <w:r>
        <w:rPr>
          <w:b/>
        </w:rPr>
        <w:t>E. 3</w:t>
      </w:r>
    </w:p>
    <w:p>
      <w:r>
        <w:t>Selon l’art. 50 LPGA, les litiges portant sur des prestations des assurances sociales peuvent être réglés par transaction (al. 1). L'assureur est tenu de notifier la transaction sous la forme d'une décision sujette à recours (al. 2). Les al. 1 et 2 s'appliquent par analogie à la procédure d'opposition ainsi qu'à la procédure de recours (al. 3). La transaction est un contrat sui generis par lequel les parties mettent fin par des conclusions réciproques à un litige ou à une incertitude dans laquelle elles se trouvent au sujet d’un rapport de droit (ATF 130 III 49). En l’occurrence, les parties ont signé les 4 janvier et 1er février 2019 une transaction mettant fin au litige. Il convient en conséquence de l’entériner et de rayer la cause du rôle. Pour le surplus, au vu du chiffre 5 de ladite transaction et de la jurisprudence du Tribunal fédéral (ATF 137 V 110), les frais d’expertise de CHF 7'400.- seront mis à la charge de l’intimée.</w:t>
      </w:r>
    </w:p>
    <w:p>
      <w:r>
        <w:t>A/3714/2017 - 5/5 -</w:t>
      </w:r>
    </w:p>
    <w:p>
      <w:r>
        <w:t>PAR CES MOTIFS, LA CHAMBRE DES ASSURANCES SOCIALES Statuant d’accord entre les parties (art. 50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