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ATAS/167/2018 vom 27. Februar 2018</w:t>
      </w:r>
    </w:p>
    <w:p>
      <w:r>
        <w:t>GE Cour de justice, 2018-02-27, FR</w:t>
      </w:r>
    </w:p>
    <w:p>
      <w:r>
        <w:rPr>
          <w:b/>
        </w:rPr>
        <w:t xml:space="preserve">Quelle: </w:t>
      </w:r>
      <w:r>
        <w:t>https://mcp.opencaselaw.ch/entscheid/ge_gerichte_ATAS_167_2018</w:t>
      </w:r>
    </w:p>
    <w:p>
      <w:r>
        <w:t>FR: GE_GERICHTE ATAS/167/2018 du 27 février 2018</w:t>
      </w:r>
    </w:p>
    <w:p>
      <w:r>
        <w:t>IT: GE_GERICHTE ATAS/167/2018 del 27 febbraio 2018</w:t>
      </w:r>
    </w:p>
    <w:p>
      <w:pPr>
        <w:pStyle w:val="Heading2"/>
      </w:pPr>
      <w:r>
        <w:t>Erwägungen</w:t>
      </w:r>
    </w:p>
    <w:p>
      <w:r>
        <w:rPr>
          <w:b/>
        </w:rPr>
        <w:t>E. 31</w:t>
      </w:r>
    </w:p>
    <w:p>
      <w:r>
        <w:t>décembre 2012, voire au-delà, ont-ils un lien de causalité naturelle avec l'accident du 6 juillet 2009 ? Dans la négative, faire abstraction des sous-questions suivantes (a à c) Dans l'affirmative, a) jusqu'à quand les troubles en question ont-ils eu un lien de causalité naturelle avec l'accident du 6 juillet 2009 ? b) les plaintes du patient depuis janvier 2010 sont-elles objectivées du point de vue somatique ? c) quelles sont les limitations fonctionnelles dues à chaque diagnostic ? 6. Mentionner, pour chaque diagnostic posé, ses conséquences sur la capacité de travail du recourant, en pourcent. 7. Indiquer l'évolution du taux d'incapacité de travail, en pourcent, depuis janvier 2010. 8. L'état de santé du patient découlant des suites de l'accident du 9 juillet 2009 est-il stabilisé ? a) Dans l'affirmative depuis quand ? b) Subsiste-t-il une incapacité de travail depuis la stabilisation du cas ?</w:t>
      </w:r>
    </w:p>
    <w:p>
      <w:r>
        <w:t>- 10/10-</w:t>
      </w:r>
    </w:p>
    <w:p>
      <w:r>
        <w:t>A/2944/2014 c) L'assuré souffre-t-il, par suite de l'accident, d'une atteinte importante et durable à son intégrité physique ? 9. Évaluer l'exigibilité, en pourcent, d'une activité lucrative adaptée et indiquer le domaine d'activité adapté. 10. Dire s'il y a une diminution de rendement et la chiffrer. 11. Évaluer la possibilité d'améliorer la capacité de travail par des mesures médicales. 12. Commenter et discuter les avis médicaux du SMR et des médecins traitants, médecins-conseils de l'assureur-accident et experts qui se sont précédemment prononcés sur les questions du lien de causalité naturelle, des diagnostics, des limitations et de la capacité de travail du recourant, et dire pourquoi l'expert s'écarte le cas échéant de certains avis précédents. 13. Toute remarque utile et proposition de l'expert. 3. Commet à ces fins le Dr C______, spécialiste FMH en chirurgie orthopédique et traumatologie, à Collombey. 4. Invite l’expert à déposer à sa meilleure convenance un rapport en trois exemplaires à la chambre de céans. 5. Réserve le fond.</w:t>
      </w:r>
    </w:p>
    <w:p>
      <w:r>
        <w:t>La greffière</w:t>
      </w:r>
    </w:p>
    <w:p>
      <w:r>
        <w:t>Florence SCHMUTZ</w:t>
      </w:r>
    </w:p>
    <w:p>
      <w:r>
        <w:t>Le président</w:t>
      </w:r>
    </w:p>
    <w:p>
      <w:r>
        <w:t>Mario-Dominique TORELLO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