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ATAS/167/2010 vom 19. März 2009</w:t>
      </w:r>
    </w:p>
    <w:p>
      <w:r>
        <w:t>GE Cour de justice, 2009-03-19, FR</w:t>
      </w:r>
    </w:p>
    <w:p>
      <w:r>
        <w:rPr>
          <w:b/>
        </w:rPr>
        <w:t xml:space="preserve">Quelle: </w:t>
      </w:r>
      <w:r>
        <w:t>https://mcp.opencaselaw.ch/entscheid/ge_gerichte_ATAS_167_2010</w:t>
      </w:r>
    </w:p>
    <w:p>
      <w:r>
        <w:t>FR: GE_GERICHTE ATAS/167/2010 du 19 mars 2009</w:t>
      </w:r>
    </w:p>
    <w:p>
      <w:r>
        <w:t>IT: GE_GERICHTE ATAS/167/2010 del 19 marzo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10 septembre 1993, d’autre part le 20 mai 2009, date à laquelle le jugement de divorce est devenu exécutoire. Selon les documents produits, la prestation acquise pendant le mariage par M. K__________ est de 31'154 fr. 96 (soit 4'013 fr. 60 auprès de la CEH + 26'515 fr. 75 auprès de la Fondation de libre passage de la BCG + 625 fr. 61 [soit 85 fr. 16 + 540 fr. 45] auprès de la Fondation institution supplétive LPP). tandis que celle acquise par Mme K__________ est de 56'252 fr. 81 (55'956 fr. 10 auprès de la CEH + 296 fr. 71 auprès de la Fondation institution supplétive LPP ) , les intérêts ayant déjà été calculés par les institutions de prévoyance défenderesses.</w:t>
      </w:r>
    </w:p>
    <w:p>
      <w:r>
        <w:t>A/1954/2009 5/6 Ainsi M. K__________ doit à son ex-épouse le montant de 15'577 fr. 48 (31'154 fr. 96 : 2) et celle-ci lui doit le montant de 28'126 fr. 41 (56'252 fr. 81 : 2), de sorte que c’est Mme K__________ qui doit à M. K__________ le montant de 12'548 fr. 95.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A/1954/2009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