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ATAS/1677/2009 vom 22. Dezember 2009</w:t>
      </w:r>
    </w:p>
    <w:p>
      <w:r>
        <w:t>GE Cour de justice, 2009-12-22, FR</w:t>
      </w:r>
    </w:p>
    <w:p>
      <w:r>
        <w:rPr>
          <w:b/>
        </w:rPr>
        <w:t xml:space="preserve">Quelle: </w:t>
      </w:r>
      <w:r>
        <w:t>https://mcp.opencaselaw.ch/entscheid/ge_gerichte_ATAS_1677_2009</w:t>
      </w:r>
    </w:p>
    <w:p>
      <w:r>
        <w:t>FR: GE_GERICHTE ATAS/1677/2009 du 22 décembre 2009</w:t>
      </w:r>
    </w:p>
    <w:p>
      <w:r>
        <w:t>IT: GE_GERICHTE ATAS/1677/2009 del 22 dicembre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peut bénéficier d'une indemnité pour réduction de l'horaire de travail pour les trois employés de sa succursale à Genève pendant la période requise du 1er octobre 2009 au 31 mars 2010.</w:t>
      </w:r>
    </w:p>
    <w:p>
      <w:r>
        <w:t>A/4144/2009 - 6/14 -</w:t>
      </w:r>
    </w:p>
    <w:p>
      <w:r>
        <w:rPr>
          <w:b/>
        </w:rPr>
        <w:t>E. 4</w:t>
      </w:r>
    </w:p>
    <w:p>
      <w:r>
        <w:t>a) Les travailleurs dont la durée normale du travail est réduite ou l’activité suspendue ont droit à l’indemnité en cas de réduction de l’horaire de travail (ci- après l’indemnité) lorsque: a. ils sont tenus de cotiser à l’assurance ou qu’ils n’ont pas encore atteint l’âge minimum de l’assujettissement aux cotisations AVS; b. la perte de travail doit être prise en considération (art. 32 LACI); c. le congé n’a pas été donné; d. la réduction de l’horaire de travail est vraisemblablement temporaire, et si l’on peut admettre qu’elle permettra de maintenir les emplois en question (art. 31 al. 1 LACI).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LACI).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LACI). La perte de travail est prise en considération lorsque: a. elle est due à des facteurs d’ordre économique et est inévitable et que b. elle est d’au moins 10 % de l’ensemble des heures normalement effectuées par les travailleurs de l’entreprise (art. 32 al. 1 LACI). Selon l'art. 33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w:t>
      </w:r>
    </w:p>
    <w:p>
      <w:r>
        <w:t>A/4144/2009 - 7/14 - travail n’est pas prise en considération (al. 2). Le Conseil fédéral définit la notion de fluctuation saisonnière de l’emploi (al. 3).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est suffisamment contrôlable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Dans un arrêt publié aux ATF 102 V 185, le Tribunal fédéral des assurances a jugé que, pour un voyageur de commerce jouissant d'une certaine indépendance, la réduction d'activité était incontrôlable et paraissait même illogique et peu</w:t>
      </w:r>
    </w:p>
    <w:p>
      <w:r>
        <w:t>A/4144/2009 - 8/14 -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w:t>
      </w:r>
    </w:p>
    <w:p>
      <w:r>
        <w:t>A/4144/2009 - 9/14 -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w:t>
      </w:r>
    </w:p>
    <w:p>
      <w:r>
        <w:t>A/4144/2009 - 10/14 -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w:t>
      </w:r>
    </w:p>
    <w:p>
      <w:r>
        <w:rPr>
          <w:b/>
        </w:rPr>
        <w:t>E. 5</w:t>
      </w:r>
    </w:p>
    <w:p>
      <w:r>
        <w:t>En l'espèce, la société a produit les chiffres d'affaires des dernières années. Sur la base de ceux-ci, il appert qu'elle a subi une baisse, pour toute la société, de 24,5 % par rapport à l'année précédente et de 13,4 % par rapport à l'année 2006/2007. Il est par ailleurs vrai que son chiffre d'affaires pendant l'année écoulée était supérieur à celui de l'année 2005/2006. Toujours est-il que la baisse par rapport à l'année précédente est importante, dès lors qu'elle correspond à presque d'un quart du chiffre d'affaires. On ignore toutefois quelle était la baisse du chiffre d'affaires de la succursale à Genève, la société n'ayant produit que les chiffres relatifs à toute la société. Cependant, la crise ayant frappé la Suisse entière, il n'y a pas lieu de considérer que la situation économique à Genève est différente et mettre en doute une baisse importante du chiffre d'affaires de la succursale dans ce canton.</w:t>
      </w:r>
    </w:p>
    <w:p>
      <w:r>
        <w:t>A/4144/2009 - 11/14 - Il convient par ailleurs de constater que le niveau des commandes en septembre 2008 était de 3'484'952 fr. pour toute la société contre seulement 2'254'329 fr. en septembre 2009, ce qui représente une baisse de 35 % des réservations. En octobre 2008, le niveau des réservations était à 3'247'295 fr. contre 1'568'927 fr. en octobre 2009. Il s'agit d'une baisse de plus de 51 %. Dans ces conditions, un effondrement du nombre des réservations ne saurait être nié. En outre, la baisse du chiffre d'affaires et des réservations coïncident avec la grave crise financière que traverse le monde, de sorte que le Tribunal de céans n'a aucune raison de nier un lien de causalité entre cette crise et les difficultés financières de la société. Il est en particulier peu vraisemblable que cette baisse soit essentiellement due à des motifs structurels, notamment au fait que de plus en plus de voyages soient réservés sur internet. En effet, ce phénomène s'observe déjà depuis plusieurs années. Quant à la perte de travail, la recourante a certes relevé dans son recours que, pendant la saison touristique, les trois collaborateurs n'avaient pas réduit leur horaire de travail. Toutefois, la saison touristique est principalement en été. Or, la réduction de l'horaire de travail n'est demandé qu'à partir d'octobre 2009. Par conséquent, ce fait n'est pas pertinent. En ce qui concerne l'argument selon lequel les travailleurs, dont la présence constante est nécessaire pour raison de promotion commerciale ou de contact avec la clientèle, ne peuvent réduire leurs horaires de présence sans mettre en péril le fonctionnement de l'entreprise, il convient de relever que les employés des différentes agences de voyages ne font pas de la prospection de clients en-dehors de leur bureau. Il s'agit uniquement de vendeurs de voyages. Or, il paraît tout à fait plausible qu'un nombre moins élevé d'employés est nécessaire dans une agence de voyages, lorsque la demande baisse. Cependant, l'intimé estime qu'une perte de travail n'est pas démontrée, la baisse du chiffre d'affaires pouvant trouver sa cause dans un changement de comportement des consommateurs, lesquels ne voyageraient pas moins, mais choisiraient des voyages moins chers. Cela n'est toutefois pas établi au degré de la vraisemblance prépondérante. Il paraît au contraire hautement probable que la baisse du chiffre d'affaires est due, du moins en large partie, à une diminution des voyages vendus, ce qui implique une réduction de travail pour les agents de voyages. Il ne saurait non plus être considéré que la perte de travail effective n'est pas établie du fait que l'horaire de l'agence est resté inchangé. En effet, la présence d'un seul employé est tout à fait suffisante pour assurer les horaires habituels de l'agence. Dans sa décision dont est recours, l'intimé fait également état d'un article de journal, selon lequel le nombre de réservations sur les vols charter au départ de l'aéroport de Genève était en hausse de 40 % par rapport à la même période de l'année dernière.</w:t>
      </w:r>
    </w:p>
    <w:p>
      <w:r>
        <w:t>A/4144/2009 - 12/14 - Cependant, indépendamment du fait que l'intimé ne produit pas l'article de journal en cause, cette hausse semble le cas échéant être compensée par des pertes encore plus importantes subies dans d'autres secteurs, comme en témoigne la baisse du chiffre d'affaires de la recourante en 2009. De surcroît, ces informations semblent être démenties par des articles parus par la suite dans d'autres journaux. Au vu de ce qui précède, il convient d'admettre que la recourante subit une perte de travail effective due à la crise économique. Compte tenu de la baisse importante du chiffre d'affaires, il n'y a par ailleurs pas lieu de douter que l'octroi des indemnités de réduction de l'horaire de travail permettra de maintenir les emplois, en attendant la reprise. Cela étant, le Tribunal de céans estime que la recourante a rendu plausible que les conditions de l'art. 31 al. 1 et 32 al. 1 let a LACI sont remplies.</w:t>
      </w:r>
    </w:p>
    <w:p>
      <w:r>
        <w:rPr>
          <w:b/>
        </w:rPr>
        <w:t>E. 6</w:t>
      </w:r>
    </w:p>
    <w:p>
      <w:r>
        <w:t>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w:t>
      </w:r>
    </w:p>
    <w:p>
      <w:r>
        <w:t>A/4144/2009 - 13/14 - sera prochainement (let. b) et tous les autres documents exigés par l'autorité cantonale (let c). Le délai de préavis de dix jours constitue un délai péremptoire et donc une condition formelle dont dépend le droit à l'indemnité (DTA 1985 p. 45 s.). Concernant le début du délai de préavis, il commence à courir le jour où le préavis est posté, conformément à l'art. 39 al. 1 LPGA, selon lequel les écrits doivent être remis au plus tard le dernier jour du délai à l'assureur ou à son adresse, à la poste suisse ou à une représentation diplomatique ou consulaire suisse (cf. aussi circulaire RHT G7).</w:t>
      </w:r>
    </w:p>
    <w:p>
      <w:r>
        <w:rPr>
          <w:b/>
        </w:rPr>
        <w:t>E. 7</w:t>
      </w:r>
    </w:p>
    <w:p>
      <w:r>
        <w:t>En l'espèce, la recourante a envoyé le préavis par fax le 18 septembre 2009. Partant, ce préavis a été en principe donné à temps pour une indemnité de réduction de travail à partir du 1er octobre 2009. Cependant, l'intimé estime que ce préavis ne peut être pris en considération qu'à partir du moment où le dossier est complet, ce qui était le cas le 20 octobre 2009. Cet avis ne saurait être suivi. En effet, selon la circulaire RHT, le délai de préavis est également considéré comme respecté lorsque l'employeur a annoncé la réduction de l'horaire de travail par lettre ou par courriel, à savoir d'une façon non conforme à la loi (G1).</w:t>
      </w:r>
    </w:p>
    <w:p>
      <w:r>
        <w:rPr>
          <w:b/>
        </w:rPr>
        <w:t>E. 8</w:t>
      </w:r>
    </w:p>
    <w:p>
      <w:r>
        <w:t>Au vu de ce qui précède, le recours doit être admis.</w:t>
      </w:r>
    </w:p>
    <w:p>
      <w:r>
        <w:t>A/4144/2009 - 14/14 -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