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ATAS/1670/2009 vom 17. Dezember 2009</w:t>
      </w:r>
    </w:p>
    <w:p>
      <w:r>
        <w:t>GE Cour de justice, 2009-12-17, FR</w:t>
      </w:r>
    </w:p>
    <w:p>
      <w:r>
        <w:rPr>
          <w:b/>
        </w:rPr>
        <w:t xml:space="preserve">Quelle: </w:t>
      </w:r>
      <w:r>
        <w:t>https://mcp.opencaselaw.ch/entscheid/ge_gerichte_ATAS_1670_2009</w:t>
      </w:r>
    </w:p>
    <w:p>
      <w:r>
        <w:t>FR: GE_GERICHTE ATAS/1670/2009 du 17 décembre 2009</w:t>
      </w:r>
    </w:p>
    <w:p>
      <w:r>
        <w:t>IT: GE_GERICHTE ATAS/1670/2009 del 17 dicembre 2009</w:t>
      </w:r>
    </w:p>
    <w:p>
      <w:pPr>
        <w:pStyle w:val="Heading2"/>
      </w:pPr>
      <w:r>
        <w:t>Erwägungen</w:t>
      </w:r>
    </w:p>
    <w:p>
      <w:r>
        <w:rPr>
          <w:b/>
        </w:rPr>
        <w:t>E. 1</w:t>
      </w:r>
    </w:p>
    <w:p>
      <w:r>
        <w:t>Par arrêt incident du 10 juin 2008, le Tribunal de céans a déclaré le recours recevable.</w:t>
      </w:r>
    </w:p>
    <w:p>
      <w:r>
        <w:rPr>
          <w:b/>
        </w:rPr>
        <w:t>E. 2</w:t>
      </w:r>
    </w:p>
    <w:p>
      <w:r>
        <w:t>L'objet du litige porte sur le bien-fondé de la suppression de la rente du recourant.</w:t>
      </w:r>
    </w:p>
    <w:p>
      <w:r>
        <w:rPr>
          <w:b/>
        </w:rPr>
        <w:t>E. 3</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w:t>
      </w:r>
    </w:p>
    <w:p>
      <w:r>
        <w:t>A/1531/2008 - 9/14 -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w:t>
      </w:r>
    </w:p>
    <w:p>
      <w:r>
        <w:t>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rPr>
          <w:b/>
        </w:rPr>
        <w:t>E. 5</w:t>
      </w:r>
    </w:p>
    <w:p>
      <w:r>
        <w:t>En matière d'assurance-invalidité, la longue période d'inactivité, l'âge ou l'absence de motivation ne constituent pas des atteintes à la santé à prendre en considération pour évaluer l'incapacité de travail ou de gain d'un assuré. Le fait que la personne concernée se considère comme invalide ne constitue pas davantage un critère. Il convient bien plutôt de se demander si, en raison d'atteintes à la santé, l'assuré ne dispose plus des ressources physiques et psychiques nécessaires à la reprise d'une activité professionnelle (ATFA du 5 décembre 2005 I 685/04). S'il apparaît que des facteurs psychosociaux ou socioculturels peuvent avoir une influence sur la capacité de travail, il n'en demeure pas moins que seule l'existence d'une atteinte à la santé psychique équivalant à une maladie revêt une importance décisive lors de l'évaluation médicale de cette capacité (ATF 127 V 294 consid. 5a p. 299 s.).</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A/1531/2008 - 10/14 -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A/1531/2008 - 11/14 -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l'expertise de la CRR du 27 novembre 2007 répond à toutes les exigences jurisprudentielles pour qu'il lui soit reconnu une pleine valeur probante. En effet, le rapport de cette expertise pluridisciplinaire (orthopédie, psychiatrie et rhumatologie) se fonde sur des examens complets, prend en considération les plaintes exprimées par la personne examinée, a été établi en pleine connaissance de l'anamnèse et les conclusions sont claires et dûment motivées. Une nouvelle expertise serait superflue.</w:t>
      </w:r>
    </w:p>
    <w:p>
      <w:r>
        <w:rPr>
          <w:b/>
        </w:rPr>
        <w:t>E. 8</w:t>
      </w:r>
    </w:p>
    <w:p>
      <w:r>
        <w:t>En outre, le rapport du 17 juin 2008 du Dr H_________ ne contient pas de constatations médicales différentes ou nouvelles puisque la gonarthrose tricompartimentale des deux genoux confirmée par les examens radiographiques a été mentionnée par les experts.</w:t>
      </w:r>
    </w:p>
    <w:p>
      <w:r>
        <w:t>A/1531/2008 - 12/14 -</w:t>
      </w:r>
    </w:p>
    <w:p>
      <w:r>
        <w:rPr>
          <w:b/>
        </w:rPr>
        <w:t>E. 9</w:t>
      </w:r>
    </w:p>
    <w:p>
      <w:r>
        <w:t>De plus, dans son courrier du 13 octobre 2008, le Dr. J_________, rhumatologue, relève que les constatations sont conformes à celles de l’expertise de la Clinique Romande de Réadaptation du 27 novembre 2007, ce qui confirme la valeur probante de ladite expertise.</w:t>
      </w:r>
    </w:p>
    <w:p>
      <w:r>
        <w:rPr>
          <w:b/>
        </w:rPr>
        <w:t>E. 10</w:t>
      </w:r>
    </w:p>
    <w:p>
      <w:r>
        <w:t>Dans le domaine somatique, les experts relèvent que dans une activité adaptée, une capacité de travail entière est médicalement exigible. En outre, l’état psychique du recourant ne constitue pas un facteur d’incapacité de travail de longue durée. Au sujet des mesures de réadaptation professionnelle, le Dr. C__________ précise que le déconditionnement de l’assuré après dix ans d’inactivité, le trouble somatoforme et le comportement douloureux lié à ce trouble, feront certainement échouer toute mesure de réadaptation.</w:t>
      </w:r>
    </w:p>
    <w:p>
      <w:r>
        <w:rPr>
          <w:b/>
        </w:rPr>
        <w:t>E. 11</w:t>
      </w:r>
    </w:p>
    <w:p>
      <w:r>
        <w:t>Considérant la notion d’activité adaptée, il convient d’examiner si l’assuré peut prétendre à des mesures de réadaptation.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Le droit au reclassement suppose que l’assuré soit invalide ou menacé d’une invalidité imminente (art. 8 al. 1er LAI). Est réputé invalide au sens de l’art. 17 LAI celui qui n’est pas suffisamment réadapté, l’activité lucrative exercée jusque 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w:t>
      </w:r>
    </w:p>
    <w:p>
      <w:r>
        <w:t>A/1531/2008 - 13/14 - l’ordre de 20% (ATF 124 V 108 consid. 2b et les références). L’OCAI a d’ailleurs relevé à ce sujet la nécessité d’un degré d’invalidité reconnu.</w:t>
      </w:r>
    </w:p>
    <w:p>
      <w:r>
        <w:rPr>
          <w:b/>
        </w:rPr>
        <w:t>E. 12</w:t>
      </w:r>
    </w:p>
    <w:p>
      <w:r>
        <w:t>Il sied de constater, en l’occurrence, que le stage d’observation mis en place a permis de confirmer que des mesures de réadaptations professionnelles n’étaient pas indiquées en raison notamment de l’absence de motivation du recourant. Cette conclusion est corroborée par l’avis du Dr. C__________ qui précise que le déconditionnement de l’assuré après dix ans d’inactivité, le trouble somatoforme et le comportement douloureux lié à ce trouble, feront certainement échouer toute mesure de réadaptation. En conséquence, le Tribunal ne retiendra pas, en faveur du recourant, un droit à des mesures de réadaptation.</w:t>
      </w:r>
    </w:p>
    <w:p>
      <w:r>
        <w:rPr>
          <w:b/>
        </w:rPr>
        <w:t>E. 13</w:t>
      </w:r>
    </w:p>
    <w:p>
      <w:r>
        <w:t>Le Tribunal de céans conclura donc au rejet du recours.</w:t>
      </w:r>
    </w:p>
    <w:p>
      <w:r>
        <w:rPr>
          <w:b/>
        </w:rPr>
        <w:t>E. 14</w:t>
      </w:r>
    </w:p>
    <w:p>
      <w:r>
        <w:t>A sujet de l’aide au placement, le Tribunal relèvera que, dans sa décision du 14 mars 2008, l’OCAI a octroyé, sur demande le l’assuré, une aide au placement. Il appartiendra, dès lors, au recourant de tout mettre en œuvre afin d’obtenir cette aide au placement</w:t>
      </w:r>
    </w:p>
    <w:p>
      <w:r>
        <w:rPr>
          <w:b/>
        </w:rPr>
        <w:t>E. 15</w:t>
      </w:r>
    </w:p>
    <w:p>
      <w:r>
        <w:t>Le recours étant mal fondé, le recourant qui succombe sera condamné à un émolument fixé à 200 fr. selon l'art. 69 al. 1bis LAI .</w:t>
      </w:r>
    </w:p>
    <w:p>
      <w:r>
        <w:t>A/1531/2008 - 14/14 -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